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38" w:rsidRDefault="00613CC8">
      <w:pPr>
        <w:pStyle w:val="ConsPlusNonformat"/>
        <w:spacing w:before="120" w:after="120"/>
        <w:jc w:val="center"/>
        <w:rPr>
          <w:rFonts w:ascii="Times New Roman" w:hAnsi="Times New Roman" w:cs="Times New Roman"/>
          <w:b/>
          <w:sz w:val="24"/>
          <w:szCs w:val="24"/>
        </w:rPr>
      </w:pPr>
      <w:r>
        <w:rPr>
          <w:rFonts w:ascii="Times New Roman" w:hAnsi="Times New Roman" w:cs="Times New Roman"/>
          <w:b/>
          <w:sz w:val="24"/>
          <w:szCs w:val="24"/>
        </w:rPr>
        <w:t>Договор о задатке</w:t>
      </w:r>
    </w:p>
    <w:p w:rsidR="00F56138" w:rsidRDefault="00613CC8">
      <w:pPr>
        <w:pStyle w:val="ConsPlusNonformat"/>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г. </w:t>
      </w:r>
      <w:r w:rsidR="00DE781B">
        <w:rPr>
          <w:rFonts w:ascii="Times New Roman" w:hAnsi="Times New Roman" w:cs="Times New Roman"/>
          <w:sz w:val="24"/>
          <w:szCs w:val="24"/>
        </w:rPr>
        <w:t>Москва</w:t>
      </w:r>
      <w:r>
        <w:rPr>
          <w:rFonts w:ascii="Times New Roman" w:hAnsi="Times New Roman" w:cs="Times New Roman"/>
          <w:sz w:val="24"/>
          <w:szCs w:val="24"/>
        </w:rPr>
        <w:t xml:space="preserve"> </w:t>
      </w:r>
    </w:p>
    <w:p w:rsidR="00F56138" w:rsidRDefault="00613CC8">
      <w:pPr>
        <w:pStyle w:val="ConsPlusNonformat"/>
        <w:spacing w:before="120" w:after="120"/>
        <w:jc w:val="both"/>
        <w:rPr>
          <w:rFonts w:ascii="Times New Roman" w:hAnsi="Times New Roman" w:cs="Times New Roman"/>
          <w:sz w:val="24"/>
          <w:szCs w:val="24"/>
        </w:rPr>
      </w:pPr>
      <w:r>
        <w:rPr>
          <w:rFonts w:ascii="Times New Roman" w:hAnsi="Times New Roman" w:cs="Times New Roman"/>
          <w:b/>
          <w:sz w:val="24"/>
          <w:szCs w:val="24"/>
        </w:rPr>
        <w:t>Акционерное общество «КАВКАЗ.РФ»</w:t>
      </w:r>
      <w:r>
        <w:rPr>
          <w:rFonts w:ascii="Times New Roman" w:hAnsi="Times New Roman" w:cs="Times New Roman"/>
          <w:sz w:val="24"/>
          <w:szCs w:val="24"/>
        </w:rPr>
        <w:t xml:space="preserve"> (ОГРН 1102632003320, ИНН 2632100740), зарегистрированное по адресу: Российская Федерация, г. Москва, ул. Тестовская, д. 10, </w:t>
      </w:r>
      <w:r>
        <w:rPr>
          <w:rFonts w:ascii="Times New Roman" w:hAnsi="Times New Roman" w:cs="Times New Roman"/>
          <w:sz w:val="24"/>
          <w:szCs w:val="24"/>
        </w:rPr>
        <w:br w:type="textWrapping" w:clear="all"/>
        <w:t>эт. 26, пом. (далее – «</w:t>
      </w:r>
      <w:r>
        <w:rPr>
          <w:rFonts w:ascii="Times New Roman" w:hAnsi="Times New Roman" w:cs="Times New Roman"/>
          <w:b/>
          <w:sz w:val="24"/>
          <w:szCs w:val="24"/>
        </w:rPr>
        <w:t>Организатор торгов</w:t>
      </w:r>
      <w:r>
        <w:rPr>
          <w:rFonts w:ascii="Times New Roman" w:hAnsi="Times New Roman" w:cs="Times New Roman"/>
          <w:sz w:val="24"/>
          <w:szCs w:val="24"/>
        </w:rPr>
        <w:t>») и</w:t>
      </w:r>
    </w:p>
    <w:p w:rsidR="00F56138" w:rsidRDefault="00613CC8">
      <w:pPr>
        <w:pStyle w:val="ConsPlusNonformat"/>
        <w:spacing w:before="120" w:after="120"/>
        <w:jc w:val="both"/>
        <w:rPr>
          <w:rFonts w:ascii="Times New Roman" w:hAnsi="Times New Roman" w:cs="Times New Roman"/>
          <w:sz w:val="24"/>
          <w:szCs w:val="24"/>
        </w:rPr>
      </w:pPr>
      <w:r>
        <w:rPr>
          <w:rFonts w:ascii="Times New Roman" w:hAnsi="Times New Roman" w:cs="Times New Roman"/>
          <w:sz w:val="24"/>
          <w:szCs w:val="24"/>
          <w:highlight w:val="yellow"/>
        </w:rPr>
        <w:t>[</w:t>
      </w:r>
      <w:r>
        <w:rPr>
          <w:rFonts w:ascii="Times New Roman" w:hAnsi="Times New Roman" w:cs="Times New Roman"/>
          <w:sz w:val="24"/>
          <w:szCs w:val="24"/>
        </w:rPr>
        <w:t>●</w:t>
      </w:r>
      <w:r>
        <w:rPr>
          <w:rFonts w:ascii="Times New Roman" w:hAnsi="Times New Roman" w:cs="Times New Roman"/>
          <w:sz w:val="24"/>
          <w:szCs w:val="24"/>
          <w:highlight w:val="yellow"/>
        </w:rPr>
        <w:t>]</w:t>
      </w:r>
      <w:r>
        <w:rPr>
          <w:rFonts w:ascii="Times New Roman" w:hAnsi="Times New Roman" w:cs="Times New Roman"/>
          <w:sz w:val="24"/>
          <w:szCs w:val="24"/>
        </w:rPr>
        <w:t xml:space="preserve"> (ОГРН </w:t>
      </w:r>
      <w:r>
        <w:rPr>
          <w:rFonts w:ascii="Times New Roman" w:hAnsi="Times New Roman" w:cs="Times New Roman"/>
          <w:sz w:val="24"/>
          <w:szCs w:val="24"/>
          <w:highlight w:val="yellow"/>
        </w:rPr>
        <w:t>[</w:t>
      </w:r>
      <w:r>
        <w:rPr>
          <w:rFonts w:ascii="Times New Roman" w:hAnsi="Times New Roman" w:cs="Times New Roman"/>
          <w:sz w:val="24"/>
          <w:szCs w:val="24"/>
        </w:rPr>
        <w:t>●</w:t>
      </w:r>
      <w:r>
        <w:rPr>
          <w:rFonts w:ascii="Times New Roman" w:hAnsi="Times New Roman" w:cs="Times New Roman"/>
          <w:sz w:val="24"/>
          <w:szCs w:val="24"/>
          <w:highlight w:val="yellow"/>
        </w:rPr>
        <w:t>]</w:t>
      </w:r>
      <w:r>
        <w:rPr>
          <w:rFonts w:ascii="Times New Roman" w:hAnsi="Times New Roman" w:cs="Times New Roman"/>
          <w:sz w:val="24"/>
          <w:szCs w:val="24"/>
        </w:rPr>
        <w:t xml:space="preserve">, ИНН </w:t>
      </w:r>
      <w:r>
        <w:rPr>
          <w:rFonts w:ascii="Times New Roman" w:hAnsi="Times New Roman" w:cs="Times New Roman"/>
          <w:sz w:val="24"/>
          <w:szCs w:val="24"/>
          <w:highlight w:val="yellow"/>
        </w:rPr>
        <w:t>[</w:t>
      </w:r>
      <w:r>
        <w:rPr>
          <w:rFonts w:ascii="Times New Roman" w:hAnsi="Times New Roman" w:cs="Times New Roman"/>
          <w:sz w:val="24"/>
          <w:szCs w:val="24"/>
        </w:rPr>
        <w:t>●</w:t>
      </w:r>
      <w:r>
        <w:rPr>
          <w:rFonts w:ascii="Times New Roman" w:hAnsi="Times New Roman" w:cs="Times New Roman"/>
          <w:sz w:val="24"/>
          <w:szCs w:val="24"/>
          <w:highlight w:val="yellow"/>
        </w:rPr>
        <w:t>]</w:t>
      </w:r>
      <w:r>
        <w:rPr>
          <w:rFonts w:ascii="Times New Roman" w:hAnsi="Times New Roman" w:cs="Times New Roman"/>
          <w:sz w:val="24"/>
          <w:szCs w:val="24"/>
        </w:rPr>
        <w:t xml:space="preserve">), зарегистрированное по адресу: </w:t>
      </w:r>
      <w:r>
        <w:rPr>
          <w:rFonts w:ascii="Times New Roman" w:hAnsi="Times New Roman" w:cs="Times New Roman"/>
          <w:sz w:val="24"/>
          <w:szCs w:val="24"/>
          <w:highlight w:val="yellow"/>
        </w:rPr>
        <w:t>[</w:t>
      </w:r>
      <w:r>
        <w:rPr>
          <w:rFonts w:ascii="Times New Roman" w:hAnsi="Times New Roman" w:cs="Times New Roman"/>
          <w:sz w:val="24"/>
          <w:szCs w:val="24"/>
        </w:rPr>
        <w:t>●</w:t>
      </w:r>
      <w:r>
        <w:rPr>
          <w:rFonts w:ascii="Times New Roman" w:hAnsi="Times New Roman" w:cs="Times New Roman"/>
          <w:sz w:val="24"/>
          <w:szCs w:val="24"/>
          <w:highlight w:val="yellow"/>
        </w:rPr>
        <w:t>]</w:t>
      </w:r>
      <w:r>
        <w:rPr>
          <w:rFonts w:ascii="Times New Roman" w:hAnsi="Times New Roman" w:cs="Times New Roman"/>
          <w:sz w:val="24"/>
          <w:szCs w:val="24"/>
        </w:rPr>
        <w:t xml:space="preserve"> (далее – «</w:t>
      </w:r>
      <w:r>
        <w:rPr>
          <w:rFonts w:ascii="Times New Roman" w:hAnsi="Times New Roman" w:cs="Times New Roman"/>
          <w:b/>
          <w:sz w:val="24"/>
          <w:szCs w:val="24"/>
        </w:rPr>
        <w:t>Участник</w:t>
      </w:r>
      <w:r>
        <w:rPr>
          <w:rFonts w:ascii="Times New Roman" w:hAnsi="Times New Roman" w:cs="Times New Roman"/>
          <w:sz w:val="24"/>
          <w:szCs w:val="24"/>
        </w:rPr>
        <w:t xml:space="preserve">»), </w:t>
      </w:r>
    </w:p>
    <w:p w:rsidR="00F56138" w:rsidRDefault="00613CC8">
      <w:pPr>
        <w:pStyle w:val="ConsPlusNonformat"/>
        <w:spacing w:before="120" w:after="120"/>
        <w:jc w:val="both"/>
        <w:rPr>
          <w:rFonts w:ascii="Times New Roman" w:hAnsi="Times New Roman" w:cs="Times New Roman"/>
          <w:sz w:val="24"/>
          <w:szCs w:val="24"/>
        </w:rPr>
      </w:pPr>
      <w:r>
        <w:rPr>
          <w:rFonts w:ascii="Times New Roman" w:hAnsi="Times New Roman" w:cs="Times New Roman"/>
          <w:sz w:val="24"/>
          <w:szCs w:val="24"/>
        </w:rPr>
        <w:t>(далее совместно – «</w:t>
      </w:r>
      <w:r>
        <w:rPr>
          <w:rFonts w:ascii="Times New Roman" w:hAnsi="Times New Roman" w:cs="Times New Roman"/>
          <w:b/>
          <w:sz w:val="24"/>
          <w:szCs w:val="24"/>
        </w:rPr>
        <w:t>Стороны</w:t>
      </w:r>
      <w:r>
        <w:rPr>
          <w:rFonts w:ascii="Times New Roman" w:hAnsi="Times New Roman" w:cs="Times New Roman"/>
          <w:sz w:val="24"/>
          <w:szCs w:val="24"/>
        </w:rPr>
        <w:t>»)</w:t>
      </w:r>
    </w:p>
    <w:p w:rsidR="00F56138" w:rsidRDefault="00613CC8">
      <w:pPr>
        <w:pStyle w:val="ConsPlusNonformat"/>
        <w:spacing w:before="120" w:after="120"/>
        <w:jc w:val="both"/>
        <w:rPr>
          <w:rFonts w:ascii="Times New Roman" w:hAnsi="Times New Roman" w:cs="Times New Roman"/>
          <w:sz w:val="24"/>
          <w:szCs w:val="24"/>
        </w:rPr>
      </w:pPr>
      <w:r>
        <w:rPr>
          <w:rFonts w:ascii="Times New Roman" w:hAnsi="Times New Roman" w:cs="Times New Roman"/>
          <w:sz w:val="24"/>
          <w:szCs w:val="24"/>
        </w:rPr>
        <w:t>заключили настоящий договор (далее – «</w:t>
      </w:r>
      <w:r>
        <w:rPr>
          <w:rFonts w:ascii="Times New Roman" w:hAnsi="Times New Roman" w:cs="Times New Roman"/>
          <w:b/>
          <w:sz w:val="24"/>
          <w:szCs w:val="24"/>
        </w:rPr>
        <w:t>Договор</w:t>
      </w:r>
      <w:r>
        <w:rPr>
          <w:rFonts w:ascii="Times New Roman" w:hAnsi="Times New Roman" w:cs="Times New Roman"/>
          <w:sz w:val="24"/>
          <w:szCs w:val="24"/>
        </w:rPr>
        <w:t>») о нижеследующем:</w:t>
      </w:r>
    </w:p>
    <w:p w:rsidR="00F56138" w:rsidRDefault="00613CC8">
      <w:pPr>
        <w:pStyle w:val="ConsPlusNonformat"/>
        <w:numPr>
          <w:ilvl w:val="0"/>
          <w:numId w:val="2"/>
        </w:numPr>
        <w:spacing w:before="120" w:after="120"/>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F56138" w:rsidRPr="005F6D7A" w:rsidRDefault="00D47ECF" w:rsidP="005F6D7A">
      <w:pPr>
        <w:pStyle w:val="a3"/>
        <w:numPr>
          <w:ilvl w:val="1"/>
          <w:numId w:val="2"/>
        </w:numPr>
        <w:spacing w:before="120" w:after="120"/>
        <w:ind w:left="0" w:firstLine="709"/>
        <w:jc w:val="both"/>
      </w:pPr>
      <w:r w:rsidRPr="00731C4D">
        <w:t xml:space="preserve">В соответствии с условиями настоящего Договора Участник для участия в открытых торгах в форме конкурса на право заключения договоров купли-продажи акций акционерного общества «Управляющая компания Архыз» (ОГРН 1220900002179, ИНН 0900003460, зарегистрированное по адресу: Российская Федерация, Карачаево-Черкесская Республика, м.р-н Зеленчукский, с.п. Архызское, с. Архыз, ул. Горная, д. 1, эт. 2, пом. 2.7) (далее – </w:t>
      </w:r>
      <w:r w:rsidRPr="00731C4D">
        <w:rPr>
          <w:b/>
        </w:rPr>
        <w:t>«Общество»</w:t>
      </w:r>
      <w:r w:rsidRPr="00731C4D">
        <w:t xml:space="preserve">) и управления Обществом (извещение о проведении открытых торгов в форме конкурса от </w:t>
      </w:r>
      <w:r>
        <w:rPr>
          <w:highlight w:val="yellow"/>
        </w:rPr>
        <w:t>[</w:t>
      </w:r>
      <w:r>
        <w:t>●</w:t>
      </w:r>
      <w:r>
        <w:rPr>
          <w:highlight w:val="yellow"/>
        </w:rPr>
        <w:t>]</w:t>
      </w:r>
      <w:r>
        <w:t xml:space="preserve"> г. № </w:t>
      </w:r>
      <w:r>
        <w:rPr>
          <w:highlight w:val="yellow"/>
        </w:rPr>
        <w:t>[</w:t>
      </w:r>
      <w:r>
        <w:t>●</w:t>
      </w:r>
      <w:r>
        <w:rPr>
          <w:highlight w:val="yellow"/>
        </w:rPr>
        <w:t>]</w:t>
      </w:r>
      <w:r>
        <w:t xml:space="preserve">) </w:t>
      </w:r>
      <w:r w:rsidRPr="00731C4D">
        <w:t xml:space="preserve">(далее – </w:t>
      </w:r>
      <w:r w:rsidRPr="00731C4D">
        <w:rPr>
          <w:b/>
        </w:rPr>
        <w:t>«Конкурс»</w:t>
      </w:r>
      <w:r w:rsidRPr="00731C4D">
        <w:t xml:space="preserve">), обязуется перечислить задаток в размере 500 000 000 (пятисот миллионов) рублей (далее – </w:t>
      </w:r>
      <w:r w:rsidRPr="00731C4D">
        <w:rPr>
          <w:b/>
        </w:rPr>
        <w:t>«Задаток»</w:t>
      </w:r>
      <w:r w:rsidRPr="00731C4D">
        <w:t xml:space="preserve">), а </w:t>
      </w:r>
      <w:r w:rsidRPr="00731C4D">
        <w:br/>
        <w:t>Организатор торгов обязан принять Задаток по следующим реквизитам: ИНН 2632100740, КПП 7</w:t>
      </w:r>
      <w:r>
        <w:t xml:space="preserve">70301001, </w:t>
      </w:r>
      <w:r w:rsidRPr="00731C4D">
        <w:t>Наименование Получателя: УФК по г. Москве (акционерное общество «КАВКАЗ.РФ» л/сч 711Н7550001), расчетный счет № 03215643000000017301, Банк: ГУ БАНКА РОССИИ ПО ЦФО//УФК ПО Г. МОСКВЕ г. Москва, к/с: 40102810545370000003, БИК 004525988</w:t>
      </w:r>
      <w:r w:rsidR="00613CC8" w:rsidRPr="005F6D7A">
        <w:t xml:space="preserve">. </w:t>
      </w:r>
    </w:p>
    <w:p w:rsidR="00F56138" w:rsidRDefault="00613CC8">
      <w:pPr>
        <w:pStyle w:val="a3"/>
        <w:numPr>
          <w:ilvl w:val="1"/>
          <w:numId w:val="2"/>
        </w:numPr>
        <w:spacing w:before="120" w:after="120"/>
        <w:ind w:left="0" w:firstLine="709"/>
        <w:jc w:val="both"/>
      </w:pPr>
      <w:r>
        <w:t xml:space="preserve">Задаток служит обеспечением исполнения обязательств Участника по заключению договора по итогам Конкурса </w:t>
      </w:r>
      <w:r>
        <w:rPr>
          <w:lang w:val="en-US"/>
        </w:rPr>
        <w:t>c</w:t>
      </w:r>
      <w:r>
        <w:t xml:space="preserve"> Организатором торгов и по оплате продаваемых по итогам Конкурса акций в соответствии с договором купли-продажи акций Общества в случае признания Участника победителем Конкурса.</w:t>
      </w:r>
    </w:p>
    <w:p w:rsidR="00F56138" w:rsidRDefault="00613CC8">
      <w:pPr>
        <w:pStyle w:val="ConsPlusNonformat"/>
        <w:numPr>
          <w:ilvl w:val="0"/>
          <w:numId w:val="2"/>
        </w:numPr>
        <w:spacing w:before="120" w:after="120"/>
        <w:jc w:val="center"/>
        <w:rPr>
          <w:rFonts w:ascii="Times New Roman" w:hAnsi="Times New Roman" w:cs="Times New Roman"/>
          <w:b/>
          <w:sz w:val="24"/>
          <w:szCs w:val="24"/>
        </w:rPr>
      </w:pPr>
      <w:r>
        <w:rPr>
          <w:rFonts w:ascii="Times New Roman" w:hAnsi="Times New Roman" w:cs="Times New Roman"/>
          <w:b/>
          <w:sz w:val="24"/>
          <w:szCs w:val="24"/>
        </w:rPr>
        <w:t>Порядок внесения Задатка</w:t>
      </w:r>
    </w:p>
    <w:p w:rsidR="00F56138" w:rsidRDefault="00613CC8">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Задаток должен быть внесен Участником на указанный в пункте 1.1 настоящего Договора счет не позднее даты окончания приема заявок, указанной в извещении о проведении Конкурса и считается внесенным с даты поступления всей суммы Задатка на указанный счет. </w:t>
      </w:r>
    </w:p>
    <w:p w:rsidR="00F56138" w:rsidRDefault="00613CC8">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Задаток для участия в Конкурса вносится единым платежом. </w:t>
      </w:r>
    </w:p>
    <w:p w:rsidR="00F56138" w:rsidRDefault="00613CC8">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Документом, подтверждающим внесение Участником Задатка, является копия платежного поручения о перечислении задатка на счет Организатора торгов, указанный в п. 1.1 настоящего Договора.</w:t>
      </w:r>
    </w:p>
    <w:p w:rsidR="00F56138" w:rsidRDefault="00613CC8">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не поступления суммы Задатка в установленный срок обязательства Участника по внесению Задатка считаются невыполненными, и Участник к участию в Конкурсе не допускается. </w:t>
      </w:r>
    </w:p>
    <w:p w:rsidR="00F56138" w:rsidRDefault="00613CC8">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Участника, будут считаться ошибочно перечисленными денежными средствами и возвращены на счет соответствующего плательщика.</w:t>
      </w:r>
    </w:p>
    <w:p w:rsidR="00F56138" w:rsidRDefault="00613CC8">
      <w:pPr>
        <w:pStyle w:val="ConsPlusNonformat"/>
        <w:numPr>
          <w:ilvl w:val="0"/>
          <w:numId w:val="2"/>
        </w:numPr>
        <w:spacing w:before="120" w:after="120"/>
        <w:jc w:val="center"/>
        <w:rPr>
          <w:rFonts w:ascii="Times New Roman" w:hAnsi="Times New Roman" w:cs="Times New Roman"/>
          <w:b/>
          <w:sz w:val="24"/>
          <w:szCs w:val="24"/>
        </w:rPr>
      </w:pPr>
      <w:r>
        <w:rPr>
          <w:rFonts w:ascii="Times New Roman" w:hAnsi="Times New Roman" w:cs="Times New Roman"/>
          <w:b/>
          <w:sz w:val="24"/>
          <w:szCs w:val="24"/>
        </w:rPr>
        <w:t>Порядок возврата и удержания Задатка</w:t>
      </w:r>
    </w:p>
    <w:p w:rsidR="00F56138" w:rsidRDefault="00613CC8">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Задаток возвращается в случаях и в сроки, установленные настоящим </w:t>
      </w:r>
      <w:r>
        <w:rPr>
          <w:rFonts w:ascii="Times New Roman" w:hAnsi="Times New Roman" w:cs="Times New Roman"/>
          <w:sz w:val="24"/>
          <w:szCs w:val="24"/>
        </w:rPr>
        <w:lastRenderedPageBreak/>
        <w:t>разделом 3, путем перечисления суммы внесенного Задатка на счет Участника, указанный в пояснительной записке Участника, предоставляемой в составе документов, входящих в заявку на участие в Конкурсе в соответствии с п. 6.1 документации к Конкурсу.</w:t>
      </w:r>
    </w:p>
    <w:p w:rsidR="00F56138" w:rsidRDefault="00613CC8">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Участник обязан незамедлительно письменно информировать Организатора об изменении своих банковских реквизитов. </w:t>
      </w:r>
    </w:p>
    <w:p w:rsidR="00F56138" w:rsidRDefault="00613CC8">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Организатор торгов не отвечает за нарушение установленных настоящим Договором сроков возврата Задатка в случае, если Участник своевременно не проинформировал Организатора торгов об изменении своих банковских реквизитов.</w:t>
      </w:r>
    </w:p>
    <w:p w:rsidR="00F56138" w:rsidRDefault="00613CC8">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w:t>
      </w:r>
      <w:r w:rsidRPr="00DE781B">
        <w:rPr>
          <w:rFonts w:ascii="Times New Roman" w:hAnsi="Times New Roman" w:cs="Times New Roman"/>
          <w:sz w:val="24"/>
          <w:szCs w:val="24"/>
        </w:rPr>
        <w:t xml:space="preserve">торгов обязан возвратить Участнику сумму внесенного Участником Задатка в течение </w:t>
      </w:r>
      <w:r w:rsidR="00DE781B" w:rsidRPr="00DE781B">
        <w:rPr>
          <w:rFonts w:ascii="Times New Roman" w:hAnsi="Times New Roman" w:cs="Times New Roman"/>
          <w:sz w:val="24"/>
          <w:szCs w:val="24"/>
        </w:rPr>
        <w:t>10 (Десяти)</w:t>
      </w:r>
      <w:r>
        <w:rPr>
          <w:rFonts w:ascii="Times New Roman" w:hAnsi="Times New Roman" w:cs="Times New Roman"/>
          <w:sz w:val="24"/>
          <w:szCs w:val="24"/>
        </w:rPr>
        <w:t xml:space="preserve"> рабочих дней с даты наступления любого из следующих обстоятельств: </w:t>
      </w:r>
    </w:p>
    <w:p w:rsidR="00F56138" w:rsidRDefault="00613CC8">
      <w:pPr>
        <w:pStyle w:val="ConsPlusNonformat"/>
        <w:numPr>
          <w:ilvl w:val="2"/>
          <w:numId w:val="2"/>
        </w:numPr>
        <w:spacing w:before="120" w:after="120"/>
        <w:ind w:left="709" w:hanging="11"/>
        <w:jc w:val="both"/>
        <w:rPr>
          <w:rFonts w:ascii="Times New Roman" w:hAnsi="Times New Roman" w:cs="Times New Roman"/>
          <w:sz w:val="24"/>
          <w:szCs w:val="24"/>
        </w:rPr>
      </w:pPr>
      <w:r>
        <w:rPr>
          <w:rFonts w:ascii="Times New Roman" w:hAnsi="Times New Roman" w:cs="Times New Roman"/>
          <w:sz w:val="24"/>
          <w:szCs w:val="24"/>
        </w:rPr>
        <w:t>Заявка Участника отклонена или Участник отстранен от участия в Конкурсе;</w:t>
      </w:r>
    </w:p>
    <w:p w:rsidR="00F56138" w:rsidRDefault="00613CC8">
      <w:pPr>
        <w:pStyle w:val="ConsPlusNonformat"/>
        <w:numPr>
          <w:ilvl w:val="2"/>
          <w:numId w:val="2"/>
        </w:numPr>
        <w:spacing w:before="120" w:after="120"/>
        <w:ind w:left="709" w:hanging="11"/>
        <w:jc w:val="both"/>
        <w:rPr>
          <w:rFonts w:ascii="Times New Roman" w:hAnsi="Times New Roman" w:cs="Times New Roman"/>
          <w:sz w:val="24"/>
          <w:szCs w:val="24"/>
        </w:rPr>
      </w:pPr>
      <w:r>
        <w:rPr>
          <w:rFonts w:ascii="Times New Roman" w:hAnsi="Times New Roman" w:cs="Times New Roman"/>
          <w:sz w:val="24"/>
          <w:szCs w:val="24"/>
        </w:rPr>
        <w:t>Заявка Участника допущена к участию в Конкурсе, но по итогам проведения Конкурса Участник не был признан победителем Конкурса;</w:t>
      </w:r>
    </w:p>
    <w:p w:rsidR="00F56138" w:rsidRDefault="00613CC8">
      <w:pPr>
        <w:pStyle w:val="ConsPlusNonformat"/>
        <w:numPr>
          <w:ilvl w:val="2"/>
          <w:numId w:val="2"/>
        </w:numPr>
        <w:spacing w:before="120" w:after="120"/>
        <w:ind w:left="709" w:hanging="11"/>
        <w:jc w:val="both"/>
        <w:rPr>
          <w:rFonts w:ascii="Times New Roman" w:hAnsi="Times New Roman" w:cs="Times New Roman"/>
          <w:sz w:val="24"/>
          <w:szCs w:val="24"/>
        </w:rPr>
      </w:pPr>
      <w:r>
        <w:rPr>
          <w:rFonts w:ascii="Times New Roman" w:hAnsi="Times New Roman" w:cs="Times New Roman"/>
          <w:sz w:val="24"/>
          <w:szCs w:val="24"/>
        </w:rPr>
        <w:t>Участник отозвал заявку до окончания срока подачи заявок на участие в Конкурсе;</w:t>
      </w:r>
    </w:p>
    <w:p w:rsidR="00F56138" w:rsidRDefault="00613CC8">
      <w:pPr>
        <w:pStyle w:val="ConsPlusNonformat"/>
        <w:numPr>
          <w:ilvl w:val="2"/>
          <w:numId w:val="2"/>
        </w:numPr>
        <w:spacing w:before="120" w:after="120"/>
        <w:ind w:left="709" w:hanging="11"/>
        <w:jc w:val="both"/>
        <w:rPr>
          <w:rFonts w:ascii="Times New Roman" w:hAnsi="Times New Roman" w:cs="Times New Roman"/>
          <w:sz w:val="24"/>
          <w:szCs w:val="24"/>
        </w:rPr>
      </w:pPr>
      <w:r>
        <w:rPr>
          <w:rFonts w:ascii="Times New Roman" w:hAnsi="Times New Roman" w:cs="Times New Roman"/>
          <w:sz w:val="24"/>
          <w:szCs w:val="24"/>
        </w:rPr>
        <w:t>Конкурс признан несостоявшимся, а Организатор торгов принял решение не заключать соответствующие договоры по результатам Конкурса с единственным участником;</w:t>
      </w:r>
    </w:p>
    <w:p w:rsidR="00F56138" w:rsidRDefault="00613CC8">
      <w:pPr>
        <w:pStyle w:val="ConsPlusNonformat"/>
        <w:numPr>
          <w:ilvl w:val="2"/>
          <w:numId w:val="2"/>
        </w:numPr>
        <w:spacing w:before="120" w:after="120"/>
        <w:ind w:left="709" w:hanging="11"/>
        <w:jc w:val="both"/>
        <w:rPr>
          <w:rFonts w:ascii="Times New Roman" w:hAnsi="Times New Roman" w:cs="Times New Roman"/>
          <w:sz w:val="24"/>
          <w:szCs w:val="24"/>
        </w:rPr>
      </w:pPr>
      <w:r>
        <w:rPr>
          <w:rFonts w:ascii="Times New Roman" w:hAnsi="Times New Roman" w:cs="Times New Roman"/>
          <w:sz w:val="24"/>
          <w:szCs w:val="24"/>
        </w:rPr>
        <w:t>Договоры, заключенные по итогам проведения Конкурса между Участником и Организатором торгов, расторгнуты на основании п. 12.11 документации к Конкурсу;</w:t>
      </w:r>
    </w:p>
    <w:p w:rsidR="00F56138" w:rsidRDefault="00613CC8">
      <w:pPr>
        <w:pStyle w:val="a3"/>
        <w:numPr>
          <w:ilvl w:val="2"/>
          <w:numId w:val="2"/>
        </w:numPr>
        <w:spacing w:before="120" w:after="120"/>
        <w:ind w:left="709" w:hanging="11"/>
        <w:jc w:val="both"/>
      </w:pPr>
      <w:r>
        <w:t>Организатор торгов отказался от заключения Договоров с Участником, определенным победителем Конкурса, на этапе заключения договоров;</w:t>
      </w:r>
    </w:p>
    <w:p w:rsidR="00F56138" w:rsidRDefault="00613CC8">
      <w:pPr>
        <w:pStyle w:val="a3"/>
        <w:numPr>
          <w:ilvl w:val="2"/>
          <w:numId w:val="2"/>
        </w:numPr>
        <w:spacing w:before="120" w:after="120"/>
        <w:ind w:left="709" w:hanging="11"/>
        <w:jc w:val="both"/>
      </w:pPr>
      <w:r>
        <w:t xml:space="preserve"> Организатор торгов обнаружил наличие недостоверных сведений в составе заявки Участника на этапе заключения соответствующих договоров по итогам проведения Конкурса. </w:t>
      </w:r>
    </w:p>
    <w:p w:rsidR="00F56138" w:rsidRDefault="00613CC8">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Организатор торгов удерживает сумму, перечисленную Участником в качестве задатка, если:</w:t>
      </w:r>
    </w:p>
    <w:p w:rsidR="00F56138" w:rsidRDefault="00613CC8">
      <w:pPr>
        <w:pStyle w:val="a3"/>
        <w:numPr>
          <w:ilvl w:val="2"/>
          <w:numId w:val="2"/>
        </w:numPr>
        <w:spacing w:before="120" w:after="120"/>
        <w:ind w:left="709" w:hanging="11"/>
        <w:jc w:val="both"/>
      </w:pPr>
      <w:r>
        <w:t xml:space="preserve">Участник, определенный победителем Конкурса, по итогам Конкурса не исполнил обязанности по заключению соответствующих договоров в течение </w:t>
      </w:r>
      <w:r w:rsidR="00576951">
        <w:t>5</w:t>
      </w:r>
      <w:r>
        <w:t xml:space="preserve"> (</w:t>
      </w:r>
      <w:r w:rsidR="00576951">
        <w:t>пяти</w:t>
      </w:r>
      <w:r>
        <w:t>)</w:t>
      </w:r>
      <w:r w:rsidR="00576951">
        <w:t xml:space="preserve"> рабочих</w:t>
      </w:r>
      <w:r>
        <w:t xml:space="preserve"> дней со дня размещения протокола подведения итогов Конкурса или со дня принятия Организатором торгов решения о заключении договоров с единственным участником Конкурса;</w:t>
      </w:r>
    </w:p>
    <w:p w:rsidR="00F56138" w:rsidRDefault="00613CC8">
      <w:pPr>
        <w:pStyle w:val="a3"/>
        <w:numPr>
          <w:ilvl w:val="2"/>
          <w:numId w:val="2"/>
        </w:numPr>
        <w:spacing w:before="120" w:after="120"/>
        <w:ind w:left="709" w:hanging="11"/>
        <w:jc w:val="both"/>
      </w:pPr>
      <w:r>
        <w:t>Участник, определенный победителем Конкурса, подписал соответствующие договоры по результатам проведения Конкурса.</w:t>
      </w:r>
    </w:p>
    <w:p w:rsidR="00F56138" w:rsidRDefault="00613CC8">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В случае заключения Участником, признанным победителем, соответствующих договоров по результатам проведения Конкурса, Задаток остается у Организатора торгов в счет оплаты 25% (двадцати пяти процентов) акций плюс 1 (одна) акция Общества.</w:t>
      </w:r>
    </w:p>
    <w:p w:rsidR="00603425" w:rsidRPr="00603425" w:rsidRDefault="00603425" w:rsidP="00603425">
      <w:pPr>
        <w:pStyle w:val="a3"/>
        <w:numPr>
          <w:ilvl w:val="0"/>
          <w:numId w:val="2"/>
        </w:numPr>
        <w:jc w:val="center"/>
        <w:rPr>
          <w:b/>
        </w:rPr>
      </w:pPr>
      <w:r w:rsidRPr="00603425">
        <w:rPr>
          <w:b/>
        </w:rPr>
        <w:t>Антикоррупционная оговорка</w:t>
      </w:r>
    </w:p>
    <w:p w:rsidR="00603425" w:rsidRPr="00603425" w:rsidRDefault="00603425" w:rsidP="00603425">
      <w:pPr>
        <w:pStyle w:val="ConsPlusNonformat"/>
        <w:numPr>
          <w:ilvl w:val="1"/>
          <w:numId w:val="2"/>
        </w:numPr>
        <w:spacing w:before="120" w:after="120"/>
        <w:ind w:left="0" w:firstLine="709"/>
        <w:jc w:val="both"/>
        <w:rPr>
          <w:rFonts w:ascii="Times New Roman" w:eastAsia="Calibri" w:hAnsi="Times New Roman" w:cs="Times New Roman"/>
          <w:spacing w:val="-2"/>
          <w:sz w:val="24"/>
          <w:szCs w:val="24"/>
        </w:rPr>
      </w:pPr>
      <w:r w:rsidRPr="00603425">
        <w:rPr>
          <w:rFonts w:ascii="Times New Roman" w:eastAsia="Calibri" w:hAnsi="Times New Roman" w:cs="Times New Roman"/>
          <w:spacing w:val="-2"/>
          <w:sz w:val="24"/>
          <w:szCs w:val="24"/>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w:t>
      </w:r>
      <w:r w:rsidRPr="00603425">
        <w:rPr>
          <w:rFonts w:ascii="Times New Roman" w:eastAsia="Calibri" w:hAnsi="Times New Roman" w:cs="Times New Roman"/>
          <w:spacing w:val="-2"/>
          <w:sz w:val="24"/>
          <w:szCs w:val="24"/>
        </w:rPr>
        <w:lastRenderedPageBreak/>
        <w:t xml:space="preserve">незаконное вознаграждение </w:t>
      </w:r>
      <w:r w:rsidRPr="00603425">
        <w:rPr>
          <w:rFonts w:ascii="Times New Roman" w:eastAsia="Calibri" w:hAnsi="Times New Roman" w:cs="Times New Roman"/>
          <w:spacing w:val="-2"/>
          <w:sz w:val="24"/>
          <w:szCs w:val="24"/>
        </w:rPr>
        <w:br/>
        <w:t xml:space="preserve">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w:t>
      </w:r>
      <w:r w:rsidRPr="00603425">
        <w:rPr>
          <w:rFonts w:ascii="Times New Roman" w:eastAsia="Calibri" w:hAnsi="Times New Roman" w:cs="Times New Roman"/>
          <w:spacing w:val="-2"/>
          <w:sz w:val="24"/>
          <w:szCs w:val="24"/>
        </w:rPr>
        <w:br/>
        <w:t xml:space="preserve">как в отношениях между Сторонами Договора, так и в отношениях с третьими лицами и государственными органами (далее – антикоррупционные требования). </w:t>
      </w:r>
    </w:p>
    <w:p w:rsidR="00603425" w:rsidRPr="00603425" w:rsidRDefault="00603425" w:rsidP="00603425">
      <w:pPr>
        <w:pStyle w:val="ConsPlusNonformat"/>
        <w:numPr>
          <w:ilvl w:val="1"/>
          <w:numId w:val="2"/>
        </w:numPr>
        <w:spacing w:before="120" w:after="120"/>
        <w:ind w:left="0" w:firstLine="709"/>
        <w:jc w:val="both"/>
        <w:rPr>
          <w:rFonts w:ascii="Times New Roman" w:eastAsia="Calibri" w:hAnsi="Times New Roman" w:cs="Times New Roman"/>
          <w:spacing w:val="-2"/>
          <w:sz w:val="24"/>
          <w:szCs w:val="24"/>
        </w:rPr>
      </w:pPr>
      <w:r w:rsidRPr="00603425">
        <w:rPr>
          <w:rFonts w:ascii="Times New Roman" w:eastAsia="Calibri" w:hAnsi="Times New Roman" w:cs="Times New Roman"/>
          <w:spacing w:val="-2"/>
          <w:sz w:val="24"/>
          <w:szCs w:val="24"/>
        </w:rPr>
        <w:t xml:space="preserve">Каждая из Сторон Договора, их аффилированные лица, работники, уполномоченные представители или посредники отказываются </w:t>
      </w:r>
      <w:r w:rsidRPr="00603425">
        <w:rPr>
          <w:rFonts w:ascii="Times New Roman" w:eastAsia="Calibri" w:hAnsi="Times New Roman" w:cs="Times New Roman"/>
          <w:spacing w:val="-2"/>
          <w:sz w:val="24"/>
          <w:szCs w:val="24"/>
        </w:rPr>
        <w:br/>
        <w:t xml:space="preserve">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w:t>
      </w:r>
      <w:r w:rsidRPr="00603425">
        <w:rPr>
          <w:rFonts w:ascii="Times New Roman" w:eastAsia="Calibri" w:hAnsi="Times New Roman" w:cs="Times New Roman"/>
          <w:spacing w:val="-2"/>
          <w:sz w:val="24"/>
          <w:szCs w:val="24"/>
        </w:rPr>
        <w:br/>
        <w:t>или уполномоченным представителем каких-либо действий в пользу стимулирующей его Стороны.</w:t>
      </w:r>
    </w:p>
    <w:p w:rsidR="00603425" w:rsidRPr="00603425" w:rsidRDefault="00603425" w:rsidP="00603425">
      <w:pPr>
        <w:pStyle w:val="ConsPlusNonformat"/>
        <w:numPr>
          <w:ilvl w:val="1"/>
          <w:numId w:val="2"/>
        </w:numPr>
        <w:spacing w:before="120" w:after="120"/>
        <w:ind w:left="0" w:firstLine="709"/>
        <w:jc w:val="both"/>
        <w:rPr>
          <w:rFonts w:ascii="Times New Roman" w:eastAsia="Calibri" w:hAnsi="Times New Roman" w:cs="Times New Roman"/>
          <w:sz w:val="24"/>
          <w:szCs w:val="24"/>
        </w:rPr>
      </w:pPr>
      <w:r w:rsidRPr="00603425">
        <w:rPr>
          <w:rFonts w:ascii="Times New Roman" w:eastAsia="Calibri" w:hAnsi="Times New Roman" w:cs="Times New Roman"/>
          <w:sz w:val="24"/>
          <w:szCs w:val="24"/>
        </w:rPr>
        <w:t xml:space="preserve">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w:t>
      </w:r>
      <w:r w:rsidRPr="00603425">
        <w:rPr>
          <w:rFonts w:ascii="Times New Roman" w:eastAsia="Calibri" w:hAnsi="Times New Roman" w:cs="Times New Roman"/>
          <w:sz w:val="24"/>
          <w:szCs w:val="24"/>
        </w:rPr>
        <w:br/>
        <w:t>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rsidR="00603425" w:rsidRPr="00603425" w:rsidRDefault="00603425" w:rsidP="00603425">
      <w:pPr>
        <w:pStyle w:val="ConsPlusNonformat"/>
        <w:numPr>
          <w:ilvl w:val="1"/>
          <w:numId w:val="2"/>
        </w:numPr>
        <w:spacing w:before="120" w:after="120"/>
        <w:ind w:left="0" w:firstLine="709"/>
        <w:jc w:val="both"/>
        <w:rPr>
          <w:rFonts w:ascii="Times New Roman" w:eastAsia="Calibri" w:hAnsi="Times New Roman" w:cs="Times New Roman"/>
          <w:sz w:val="24"/>
          <w:szCs w:val="24"/>
        </w:rPr>
      </w:pPr>
      <w:r w:rsidRPr="00603425">
        <w:rPr>
          <w:rFonts w:ascii="Times New Roman" w:eastAsia="Calibri" w:hAnsi="Times New Roman" w:cs="Times New Roman"/>
          <w:sz w:val="24"/>
          <w:szCs w:val="24"/>
        </w:rPr>
        <w:t xml:space="preserve">Сторона, получившая письменное уведомление о нарушении антикоррупционных требований, обязана дать на него мотивированный ответ, </w:t>
      </w:r>
      <w:r w:rsidRPr="00603425">
        <w:rPr>
          <w:rFonts w:ascii="Times New Roman" w:eastAsia="Calibri" w:hAnsi="Times New Roman" w:cs="Times New Roman"/>
          <w:sz w:val="24"/>
          <w:szCs w:val="24"/>
        </w:rPr>
        <w:br/>
        <w:t xml:space="preserve">а также представить другой Стороне запрашиваемые документы </w:t>
      </w:r>
      <w:r w:rsidRPr="00603425">
        <w:rPr>
          <w:rFonts w:ascii="Times New Roman" w:eastAsia="Calibri" w:hAnsi="Times New Roman" w:cs="Times New Roman"/>
          <w:sz w:val="24"/>
          <w:szCs w:val="24"/>
        </w:rPr>
        <w:br/>
        <w:t xml:space="preserve">и информацию (либо указать предусмотренные законом основания для отказа </w:t>
      </w:r>
      <w:r w:rsidRPr="00603425">
        <w:rPr>
          <w:rFonts w:ascii="Times New Roman" w:eastAsia="Calibri" w:hAnsi="Times New Roman" w:cs="Times New Roman"/>
          <w:sz w:val="24"/>
          <w:szCs w:val="24"/>
        </w:rPr>
        <w:br/>
        <w:t>в их представлении) в течение 30 (тридцати) дней после получения запроса, если иной срок не будет установлен по соглашению Сторон.</w:t>
      </w:r>
    </w:p>
    <w:p w:rsidR="00603425" w:rsidRPr="00603425" w:rsidRDefault="00603425" w:rsidP="00603425">
      <w:pPr>
        <w:pStyle w:val="ConsPlusNonformat"/>
        <w:numPr>
          <w:ilvl w:val="1"/>
          <w:numId w:val="2"/>
        </w:numPr>
        <w:spacing w:before="120" w:after="120"/>
        <w:ind w:left="0" w:firstLine="709"/>
        <w:jc w:val="both"/>
        <w:rPr>
          <w:rFonts w:ascii="Times New Roman" w:eastAsia="Calibri" w:hAnsi="Times New Roman" w:cs="Times New Roman"/>
          <w:sz w:val="24"/>
          <w:szCs w:val="24"/>
        </w:rPr>
      </w:pPr>
      <w:r w:rsidRPr="00603425">
        <w:rPr>
          <w:rFonts w:ascii="Times New Roman" w:eastAsia="Calibri" w:hAnsi="Times New Roman" w:cs="Times New Roman"/>
          <w:sz w:val="24"/>
          <w:szCs w:val="24"/>
        </w:rPr>
        <w:t xml:space="preserve">Стороны гарантируют осуществление надлежащего разбирательства по фактам нарушения антикоррупционных требований настоящего Договора </w:t>
      </w:r>
      <w:r w:rsidRPr="00603425">
        <w:rPr>
          <w:rFonts w:ascii="Times New Roman" w:eastAsia="Calibri" w:hAnsi="Times New Roman" w:cs="Times New Roman"/>
          <w:sz w:val="24"/>
          <w:szCs w:val="24"/>
        </w:rPr>
        <w:b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03425" w:rsidRPr="00603425" w:rsidRDefault="00603425" w:rsidP="00603425">
      <w:pPr>
        <w:pStyle w:val="ConsPlusNonformat"/>
        <w:numPr>
          <w:ilvl w:val="1"/>
          <w:numId w:val="2"/>
        </w:numPr>
        <w:spacing w:before="120" w:after="120"/>
        <w:ind w:left="0" w:firstLine="709"/>
        <w:jc w:val="both"/>
        <w:rPr>
          <w:rFonts w:ascii="Times New Roman" w:eastAsia="Calibri" w:hAnsi="Times New Roman" w:cs="Times New Roman"/>
          <w:sz w:val="24"/>
          <w:szCs w:val="24"/>
        </w:rPr>
      </w:pPr>
      <w:r w:rsidRPr="00603425">
        <w:rPr>
          <w:rFonts w:ascii="Times New Roman" w:eastAsia="Calibri" w:hAnsi="Times New Roman" w:cs="Times New Roman"/>
          <w:sz w:val="24"/>
          <w:szCs w:val="24"/>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w:t>
      </w:r>
      <w:r>
        <w:rPr>
          <w:rFonts w:ascii="Times New Roman" w:eastAsia="Calibri" w:hAnsi="Times New Roman" w:cs="Times New Roman"/>
          <w:sz w:val="24"/>
          <w:szCs w:val="24"/>
        </w:rPr>
        <w:t xml:space="preserve">онами спора или его разрешения </w:t>
      </w:r>
      <w:r w:rsidRPr="00603425">
        <w:rPr>
          <w:rFonts w:ascii="Times New Roman" w:eastAsia="Calibri" w:hAnsi="Times New Roman" w:cs="Times New Roman"/>
          <w:sz w:val="24"/>
          <w:szCs w:val="24"/>
        </w:rPr>
        <w:t>в судебном порядке.</w:t>
      </w:r>
    </w:p>
    <w:p w:rsidR="00603425" w:rsidRDefault="00603425" w:rsidP="00603425">
      <w:pPr>
        <w:pStyle w:val="ConsPlusNonformat"/>
        <w:numPr>
          <w:ilvl w:val="1"/>
          <w:numId w:val="2"/>
        </w:numPr>
        <w:spacing w:before="120" w:after="120"/>
        <w:ind w:left="0" w:firstLine="709"/>
        <w:jc w:val="both"/>
        <w:rPr>
          <w:rFonts w:ascii="Times New Roman" w:eastAsia="Calibri" w:hAnsi="Times New Roman" w:cs="Times New Roman"/>
          <w:sz w:val="24"/>
          <w:szCs w:val="24"/>
        </w:rPr>
      </w:pPr>
      <w:r w:rsidRPr="00603425">
        <w:rPr>
          <w:rFonts w:ascii="Times New Roman" w:eastAsia="Calibri" w:hAnsi="Times New Roman" w:cs="Times New Roman"/>
          <w:sz w:val="24"/>
          <w:szCs w:val="24"/>
        </w:rPr>
        <w:t xml:space="preserve">Сторона, нарушившая антикоррупционные требования Договора </w:t>
      </w:r>
      <w:r w:rsidRPr="00603425">
        <w:rPr>
          <w:rFonts w:ascii="Times New Roman" w:eastAsia="Calibri" w:hAnsi="Times New Roman" w:cs="Times New Roman"/>
          <w:sz w:val="24"/>
          <w:szCs w:val="24"/>
        </w:rPr>
        <w:br/>
        <w:t>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rsidR="00603425" w:rsidRDefault="00603425" w:rsidP="00603425">
      <w:pPr>
        <w:pStyle w:val="ConsPlusNonformat"/>
        <w:spacing w:before="120" w:after="120"/>
        <w:ind w:left="709"/>
        <w:jc w:val="both"/>
        <w:rPr>
          <w:rFonts w:ascii="Times New Roman" w:eastAsia="Calibri" w:hAnsi="Times New Roman" w:cs="Times New Roman"/>
          <w:sz w:val="24"/>
          <w:szCs w:val="24"/>
        </w:rPr>
      </w:pPr>
    </w:p>
    <w:p w:rsidR="00603425" w:rsidRPr="00603425" w:rsidRDefault="00603425" w:rsidP="00603425">
      <w:pPr>
        <w:pStyle w:val="ConsPlusNonformat"/>
        <w:spacing w:before="120" w:after="120"/>
        <w:ind w:left="709"/>
        <w:jc w:val="both"/>
        <w:rPr>
          <w:rFonts w:ascii="Times New Roman" w:eastAsia="Calibri" w:hAnsi="Times New Roman" w:cs="Times New Roman"/>
          <w:sz w:val="24"/>
          <w:szCs w:val="24"/>
        </w:rPr>
      </w:pPr>
    </w:p>
    <w:p w:rsidR="00603425" w:rsidRPr="00603425" w:rsidRDefault="00603425" w:rsidP="00603425">
      <w:pPr>
        <w:pStyle w:val="ConsPlusNonformat"/>
        <w:numPr>
          <w:ilvl w:val="0"/>
          <w:numId w:val="2"/>
        </w:numPr>
        <w:spacing w:before="120" w:after="120"/>
        <w:jc w:val="center"/>
        <w:rPr>
          <w:rFonts w:ascii="Times New Roman" w:hAnsi="Times New Roman" w:cs="Times New Roman"/>
          <w:b/>
          <w:sz w:val="24"/>
          <w:szCs w:val="24"/>
        </w:rPr>
      </w:pPr>
      <w:r w:rsidRPr="00603425">
        <w:rPr>
          <w:rFonts w:ascii="Times New Roman" w:hAnsi="Times New Roman" w:cs="Times New Roman"/>
          <w:b/>
          <w:sz w:val="24"/>
          <w:szCs w:val="24"/>
        </w:rPr>
        <w:t>Заключительные положения</w:t>
      </w:r>
    </w:p>
    <w:p w:rsidR="00F56138" w:rsidRPr="00603425" w:rsidRDefault="00613CC8">
      <w:pPr>
        <w:pStyle w:val="ConsPlusNonformat"/>
        <w:numPr>
          <w:ilvl w:val="1"/>
          <w:numId w:val="2"/>
        </w:numPr>
        <w:spacing w:before="120" w:after="120"/>
        <w:ind w:left="0" w:firstLine="709"/>
        <w:jc w:val="both"/>
        <w:rPr>
          <w:rFonts w:ascii="Times New Roman" w:hAnsi="Times New Roman" w:cs="Times New Roman"/>
          <w:sz w:val="24"/>
          <w:szCs w:val="24"/>
        </w:rPr>
      </w:pPr>
      <w:r w:rsidRPr="00603425">
        <w:rPr>
          <w:rFonts w:ascii="Times New Roman" w:hAnsi="Times New Roman" w:cs="Times New Roman"/>
          <w:sz w:val="24"/>
          <w:szCs w:val="24"/>
        </w:rPr>
        <w:t>Настоящий Договор считается заключенным и вступает в силу с даты подачи Участником заявки на участие в Конкурсе, что является акцептом публичной оферты, размещенной в рамках Конкурса на электронной торговой площадке.</w:t>
      </w:r>
    </w:p>
    <w:p w:rsidR="00F56138" w:rsidRDefault="00613CC8">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w:t>
      </w:r>
    </w:p>
    <w:p w:rsidR="00F56138" w:rsidRDefault="00F56138">
      <w:pPr>
        <w:pStyle w:val="ConsPlusNonformat"/>
        <w:spacing w:before="120" w:after="120"/>
        <w:ind w:left="709"/>
        <w:jc w:val="both"/>
        <w:rPr>
          <w:rFonts w:ascii="Times New Roman" w:hAnsi="Times New Roman" w:cs="Times New Roman"/>
          <w:sz w:val="24"/>
          <w:szCs w:val="24"/>
        </w:rPr>
      </w:pPr>
    </w:p>
    <w:p w:rsidR="00F56138" w:rsidRDefault="00613CC8">
      <w:pPr>
        <w:pStyle w:val="ConsPlusNonformat"/>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 xml:space="preserve">Место нахождения и банковские реквизиты Организатора торгов </w:t>
      </w:r>
    </w:p>
    <w:p w:rsidR="00F56138" w:rsidRDefault="00F56138">
      <w:pPr>
        <w:pStyle w:val="ConsPlusNonformat"/>
        <w:ind w:left="720"/>
        <w:rPr>
          <w:rFonts w:ascii="Times New Roman" w:hAnsi="Times New Roman" w:cs="Times New Roman"/>
          <w:b/>
          <w:sz w:val="24"/>
          <w:szCs w:val="24"/>
        </w:rPr>
      </w:pPr>
    </w:p>
    <w:tbl>
      <w:tblPr>
        <w:tblStyle w:val="af3"/>
        <w:tblW w:w="8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tblGrid>
      <w:tr w:rsidR="00F56138" w:rsidTr="009F72EC">
        <w:trPr>
          <w:trHeight w:val="3905"/>
        </w:trPr>
        <w:tc>
          <w:tcPr>
            <w:tcW w:w="8635" w:type="dxa"/>
          </w:tcPr>
          <w:p w:rsidR="00F56138" w:rsidRPr="007D654E" w:rsidRDefault="00613CC8" w:rsidP="009F72EC">
            <w:pPr>
              <w:rPr>
                <w:color w:val="000000" w:themeColor="text1"/>
              </w:rPr>
            </w:pPr>
            <w:r w:rsidRPr="007D654E">
              <w:rPr>
                <w:color w:val="000000" w:themeColor="text1"/>
              </w:rPr>
              <w:t>Акционерное общество «КАВКАЗ.РФ»</w:t>
            </w:r>
          </w:p>
          <w:p w:rsidR="009F72EC" w:rsidRPr="009F72EC" w:rsidRDefault="009F72EC" w:rsidP="009F72EC">
            <w:pPr>
              <w:autoSpaceDE w:val="0"/>
              <w:autoSpaceDN w:val="0"/>
              <w:adjustRightInd w:val="0"/>
              <w:spacing w:before="100" w:after="100"/>
              <w:rPr>
                <w:rFonts w:eastAsiaTheme="minorHAnsi"/>
                <w:lang w:eastAsia="en-US"/>
              </w:rPr>
            </w:pPr>
            <w:r w:rsidRPr="009F72EC">
              <w:rPr>
                <w:rFonts w:eastAsiaTheme="minorHAnsi"/>
                <w:lang w:eastAsia="en-US"/>
              </w:rPr>
              <w:t>ИНН: 2632100740 КПП 770301001</w:t>
            </w:r>
            <w:r w:rsidRPr="009F72EC">
              <w:rPr>
                <w:rFonts w:eastAsiaTheme="minorHAnsi"/>
                <w:lang w:eastAsia="en-US"/>
              </w:rPr>
              <w:br/>
              <w:t>Наименование: УФК по г. Москве (акционерное общество «КАВКАЗ.РФ» л/сч 711Н7550001)</w:t>
            </w:r>
            <w:r w:rsidRPr="009F72EC">
              <w:rPr>
                <w:rFonts w:eastAsiaTheme="minorHAnsi"/>
                <w:lang w:eastAsia="en-US"/>
              </w:rPr>
              <w:br/>
              <w:t>р/счет № 03215643000000017301</w:t>
            </w:r>
            <w:r w:rsidRPr="009F72EC">
              <w:rPr>
                <w:rFonts w:eastAsiaTheme="minorHAnsi"/>
                <w:lang w:eastAsia="en-US"/>
              </w:rPr>
              <w:br/>
              <w:t xml:space="preserve">Банк: ГУ БАНКА РОССИИ ПО ЦФО//УФК ПО Г. МОСКВЕ г. Москва </w:t>
            </w:r>
            <w:r w:rsidRPr="009F72EC">
              <w:rPr>
                <w:rFonts w:eastAsiaTheme="minorHAnsi"/>
                <w:lang w:eastAsia="en-US"/>
              </w:rPr>
              <w:br/>
              <w:t>Корреспондентский счет: 40102810545370000003</w:t>
            </w:r>
            <w:r w:rsidRPr="009F72EC">
              <w:rPr>
                <w:rFonts w:eastAsiaTheme="minorHAnsi"/>
                <w:lang w:eastAsia="en-US"/>
              </w:rPr>
              <w:br/>
              <w:t>БИК: 004525988</w:t>
            </w:r>
          </w:p>
          <w:p w:rsidR="00F56138" w:rsidRPr="007D654E" w:rsidRDefault="00F56138" w:rsidP="007D654E">
            <w:pPr>
              <w:jc w:val="center"/>
              <w:rPr>
                <w:color w:val="000000" w:themeColor="text1"/>
              </w:rPr>
            </w:pPr>
          </w:p>
          <w:p w:rsidR="00F56138" w:rsidRDefault="00F56138" w:rsidP="009F72EC">
            <w:pPr>
              <w:jc w:val="center"/>
              <w:rPr>
                <w:color w:val="000000" w:themeColor="text1"/>
              </w:rPr>
            </w:pPr>
          </w:p>
          <w:p w:rsidR="009F72EC" w:rsidRPr="007D654E" w:rsidRDefault="009F72EC" w:rsidP="009F72EC">
            <w:pPr>
              <w:jc w:val="center"/>
              <w:rPr>
                <w:color w:val="000000" w:themeColor="text1"/>
              </w:rPr>
            </w:pPr>
            <w:r>
              <w:rPr>
                <w:color w:val="000000" w:themeColor="text1"/>
                <w:lang w:val="en-US"/>
              </w:rPr>
              <w:t>___</w:t>
            </w:r>
            <w:r w:rsidRPr="007D654E">
              <w:rPr>
                <w:color w:val="000000" w:themeColor="text1"/>
              </w:rPr>
              <w:t>______ /______</w:t>
            </w:r>
            <w:r>
              <w:rPr>
                <w:color w:val="000000" w:themeColor="text1"/>
                <w:lang w:val="en-US"/>
              </w:rPr>
              <w:t>__</w:t>
            </w:r>
            <w:r w:rsidRPr="007D654E">
              <w:rPr>
                <w:color w:val="000000" w:themeColor="text1"/>
              </w:rPr>
              <w:t>__</w:t>
            </w:r>
          </w:p>
          <w:p w:rsidR="009F72EC" w:rsidRPr="007D654E" w:rsidRDefault="009F72EC" w:rsidP="009F72EC">
            <w:pPr>
              <w:jc w:val="center"/>
              <w:rPr>
                <w:color w:val="000000" w:themeColor="text1"/>
              </w:rPr>
            </w:pPr>
          </w:p>
        </w:tc>
      </w:tr>
    </w:tbl>
    <w:p w:rsidR="00F56138" w:rsidRDefault="00F56138">
      <w:pPr>
        <w:pStyle w:val="ConsPlusNonformat"/>
        <w:jc w:val="both"/>
        <w:rPr>
          <w:rFonts w:ascii="Times New Roman" w:hAnsi="Times New Roman" w:cs="Times New Roman"/>
          <w:sz w:val="24"/>
          <w:szCs w:val="24"/>
        </w:rPr>
      </w:pPr>
    </w:p>
    <w:p w:rsidR="00F56138" w:rsidRDefault="00F56138">
      <w:bookmarkStart w:id="0" w:name="_GoBack"/>
      <w:bookmarkEnd w:id="0"/>
    </w:p>
    <w:sectPr w:rsidR="00F561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138" w:rsidRDefault="00613CC8">
      <w:r>
        <w:separator/>
      </w:r>
    </w:p>
  </w:endnote>
  <w:endnote w:type="continuationSeparator" w:id="0">
    <w:p w:rsidR="00F56138" w:rsidRDefault="00613CC8">
      <w:r>
        <w:continuationSeparator/>
      </w:r>
    </w:p>
  </w:endnote>
  <w:endnote w:type="continuationNotice" w:id="1">
    <w:p w:rsidR="00F56138" w:rsidRDefault="00F56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138" w:rsidRDefault="00613CC8">
      <w:r>
        <w:separator/>
      </w:r>
    </w:p>
  </w:footnote>
  <w:footnote w:type="continuationSeparator" w:id="0">
    <w:p w:rsidR="00F56138" w:rsidRDefault="00613CC8">
      <w:r>
        <w:continuationSeparator/>
      </w:r>
    </w:p>
  </w:footnote>
  <w:footnote w:type="continuationNotice" w:id="1">
    <w:p w:rsidR="00F56138" w:rsidRDefault="00F5613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37BC"/>
    <w:multiLevelType w:val="hybridMultilevel"/>
    <w:tmpl w:val="E500A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757C25"/>
    <w:multiLevelType w:val="hybridMultilevel"/>
    <w:tmpl w:val="C41298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59055BA4"/>
    <w:multiLevelType w:val="multilevel"/>
    <w:tmpl w:val="81ECC070"/>
    <w:lvl w:ilvl="0">
      <w:start w:val="1"/>
      <w:numFmt w:val="decimal"/>
      <w:lvlText w:val="%1."/>
      <w:lvlJc w:val="left"/>
      <w:pPr>
        <w:ind w:left="720" w:hanging="360"/>
      </w:pPr>
      <w:rPr>
        <w:rFonts w:hint="default"/>
      </w:rPr>
    </w:lvl>
    <w:lvl w:ilvl="1">
      <w:start w:val="1"/>
      <w:numFmt w:val="decimal"/>
      <w:isLgl/>
      <w:lvlText w:val="%1.%2."/>
      <w:lvlJc w:val="left"/>
      <w:pPr>
        <w:ind w:left="1165" w:hanging="456"/>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6B056CBA"/>
    <w:multiLevelType w:val="hybridMultilevel"/>
    <w:tmpl w:val="B59EE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38"/>
    <w:rsid w:val="00576951"/>
    <w:rsid w:val="005F6D7A"/>
    <w:rsid w:val="00603425"/>
    <w:rsid w:val="00613CC8"/>
    <w:rsid w:val="007611D1"/>
    <w:rsid w:val="007D654E"/>
    <w:rsid w:val="009F72EC"/>
    <w:rsid w:val="00D47ECF"/>
    <w:rsid w:val="00DE781B"/>
    <w:rsid w:val="00F56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EB61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Bullet Number,Нумерованый список,List Paragraph1,Bullet List,FooterText,numbered,lp1,Абзац списка2,List Paragraph,ПАРАГРАФ,название,SL_Абзац списка,Абзац списка4,f_Абзац 1,Абзац списка11,Текстовая,фото,Рисунок,List Paragraph2,UL,Тема"/>
    <w:basedOn w:val="a"/>
    <w:link w:val="a4"/>
    <w:uiPriority w:val="34"/>
    <w:qFormat/>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2 Знак,List Paragraph Знак,ПАРАГРАФ Знак,название Знак,SL_Абзац списка Знак,f_Абзац 1 Знак"/>
    <w:link w:val="a3"/>
    <w:uiPriority w:val="34"/>
    <w:qFormat/>
    <w:locked/>
    <w:rPr>
      <w:rFonts w:eastAsia="Times New Roman" w:cs="Times New Roman"/>
      <w:szCs w:val="24"/>
      <w:lang w:eastAsia="ru-RU"/>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rPr>
      <w:sz w:val="20"/>
      <w:szCs w:val="20"/>
    </w:rPr>
  </w:style>
  <w:style w:type="character" w:customStyle="1" w:styleId="a7">
    <w:name w:val="Текст примечания Знак"/>
    <w:basedOn w:val="a0"/>
    <w:link w:val="a6"/>
    <w:uiPriority w:val="99"/>
    <w:semiHidden/>
    <w:rPr>
      <w:rFonts w:eastAsia="Times New Roman"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eastAsia="Times New Roman" w:cs="Times New Roman"/>
      <w:b/>
      <w:bCs/>
      <w:sz w:val="20"/>
      <w:szCs w:val="20"/>
      <w:lang w:eastAsia="ru-RU"/>
    </w:rPr>
  </w:style>
  <w:style w:type="paragraph" w:styleId="aa">
    <w:name w:val="Balloon Text"/>
    <w:basedOn w:val="a"/>
    <w:link w:val="ab"/>
    <w:uiPriority w:val="99"/>
    <w:semiHidden/>
    <w:unhideWhenUsed/>
    <w:rPr>
      <w:rFonts w:ascii="Segoe UI" w:hAnsi="Segoe UI" w:cs="Segoe UI"/>
      <w:sz w:val="18"/>
      <w:szCs w:val="18"/>
    </w:rPr>
  </w:style>
  <w:style w:type="character" w:customStyle="1" w:styleId="ab">
    <w:name w:val="Текст выноски Знак"/>
    <w:basedOn w:val="a0"/>
    <w:link w:val="aa"/>
    <w:uiPriority w:val="99"/>
    <w:semiHidden/>
    <w:rPr>
      <w:rFonts w:ascii="Segoe UI" w:eastAsia="Times New Roman" w:hAnsi="Segoe UI" w:cs="Segoe UI"/>
      <w:sz w:val="18"/>
      <w:szCs w:val="18"/>
      <w:lang w:eastAsia="ru-RU"/>
    </w:rPr>
  </w:style>
  <w:style w:type="character" w:styleId="ac">
    <w:name w:val="Hyperlink"/>
    <w:basedOn w:val="a0"/>
    <w:uiPriority w:val="99"/>
    <w:unhideWhenUsed/>
    <w:rPr>
      <w:color w:val="0000FF" w:themeColor="hyperlink"/>
      <w:u w:val="single"/>
    </w:rPr>
  </w:style>
  <w:style w:type="character" w:styleId="ad">
    <w:name w:val="FollowedHyperlink"/>
    <w:basedOn w:val="a0"/>
    <w:uiPriority w:val="99"/>
    <w:semiHidden/>
    <w:unhideWhenUsed/>
    <w:rPr>
      <w:color w:val="800080" w:themeColor="followedHyperlink"/>
      <w:u w:val="single"/>
    </w:rPr>
  </w:style>
  <w:style w:type="character" w:styleId="ae">
    <w:name w:val="Placeholder Text"/>
    <w:basedOn w:val="a0"/>
    <w:uiPriority w:val="99"/>
    <w:semiHidden/>
    <w:rPr>
      <w:color w:val="808080"/>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eastAsia="Times New Roman" w:cs="Times New Roman"/>
      <w:szCs w:val="24"/>
      <w:lang w:eastAsia="ru-RU"/>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eastAsia="Times New Roman" w:cs="Times New Roman"/>
      <w:szCs w:val="24"/>
      <w:lang w:eastAsia="ru-RU"/>
    </w:rPr>
  </w:style>
  <w:style w:type="table" w:styleId="af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8331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2022-10-04T07:08:00Z</dcterms:created>
  <dcterms:modified xsi:type="dcterms:W3CDTF">2022-10-04T15:35:00Z</dcterms:modified>
</cp:coreProperties>
</file>