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1E7C1D">
        <w:rPr>
          <w:b/>
        </w:rPr>
        <w:t>22</w:t>
      </w:r>
      <w:r w:rsidR="00700836">
        <w:rPr>
          <w:b/>
        </w:rPr>
        <w:t>.</w:t>
      </w:r>
      <w:r w:rsidR="001E7C1D">
        <w:rPr>
          <w:b/>
        </w:rPr>
        <w:t>05</w:t>
      </w:r>
      <w:r w:rsidR="00700836">
        <w:rPr>
          <w:b/>
        </w:rPr>
        <w:t>.202</w:t>
      </w:r>
      <w:r w:rsidR="001A6DEF">
        <w:rPr>
          <w:b/>
        </w:rPr>
        <w:t>4</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sidR="00700836" w:rsidRPr="00700836">
        <w:rPr>
          <w:rFonts w:ascii="Times New Roman" w:hAnsi="Times New Roman" w:cs="Times New Roman"/>
          <w:b/>
          <w:bCs/>
          <w:sz w:val="24"/>
          <w:szCs w:val="24"/>
        </w:rPr>
        <w:t>извещени</w:t>
      </w:r>
      <w:r w:rsidR="00557192">
        <w:rPr>
          <w:rFonts w:ascii="Times New Roman" w:hAnsi="Times New Roman" w:cs="Times New Roman"/>
          <w:b/>
          <w:bCs/>
          <w:sz w:val="24"/>
          <w:szCs w:val="24"/>
        </w:rPr>
        <w:t>е</w:t>
      </w:r>
      <w:r w:rsidR="00700836" w:rsidRPr="00700836">
        <w:rPr>
          <w:rFonts w:ascii="Times New Roman" w:hAnsi="Times New Roman" w:cs="Times New Roman"/>
          <w:b/>
          <w:bCs/>
          <w:sz w:val="24"/>
          <w:szCs w:val="24"/>
        </w:rPr>
        <w:t xml:space="preserve"> о проведении </w:t>
      </w:r>
      <w:r w:rsidR="001E7C1D">
        <w:rPr>
          <w:rFonts w:ascii="Times New Roman" w:hAnsi="Times New Roman" w:cs="Times New Roman"/>
          <w:b/>
          <w:bCs/>
          <w:sz w:val="24"/>
          <w:szCs w:val="24"/>
        </w:rPr>
        <w:t xml:space="preserve">открытого </w:t>
      </w:r>
      <w:r w:rsidR="00557192" w:rsidRPr="00557192">
        <w:rPr>
          <w:rFonts w:ascii="Times New Roman" w:hAnsi="Times New Roman" w:cs="Times New Roman"/>
          <w:b/>
          <w:bCs/>
          <w:sz w:val="24"/>
          <w:szCs w:val="24"/>
        </w:rPr>
        <w:t>запроса котировок в электронной форме</w:t>
      </w:r>
      <w:r w:rsidR="00557192">
        <w:rPr>
          <w:rFonts w:ascii="Times New Roman" w:hAnsi="Times New Roman" w:cs="Times New Roman"/>
          <w:b/>
          <w:bCs/>
          <w:sz w:val="24"/>
          <w:szCs w:val="24"/>
        </w:rPr>
        <w:t xml:space="preserve"> </w:t>
      </w:r>
      <w:r w:rsidR="00700836" w:rsidRPr="00700836">
        <w:rPr>
          <w:rFonts w:ascii="Times New Roman" w:hAnsi="Times New Roman" w:cs="Times New Roman"/>
          <w:b/>
          <w:bCs/>
          <w:sz w:val="24"/>
          <w:szCs w:val="24"/>
        </w:rPr>
        <w:t xml:space="preserve">от </w:t>
      </w:r>
      <w:r w:rsidR="001E7C1D" w:rsidRPr="001E7C1D">
        <w:rPr>
          <w:rFonts w:ascii="Times New Roman" w:hAnsi="Times New Roman" w:cs="Times New Roman"/>
          <w:b/>
          <w:bCs/>
          <w:sz w:val="24"/>
          <w:szCs w:val="24"/>
        </w:rPr>
        <w:t>20.05.2024 г. № ЗКЭФ-ДЭУК-884</w:t>
      </w:r>
    </w:p>
    <w:p w:rsidR="003306D1" w:rsidRPr="00557192" w:rsidRDefault="00557192" w:rsidP="00557192">
      <w:pPr>
        <w:pStyle w:val="Default"/>
        <w:numPr>
          <w:ilvl w:val="0"/>
          <w:numId w:val="17"/>
        </w:numPr>
        <w:tabs>
          <w:tab w:val="left" w:pos="851"/>
        </w:tabs>
        <w:spacing w:before="120" w:after="120"/>
        <w:ind w:left="0" w:firstLine="567"/>
        <w:jc w:val="both"/>
        <w:rPr>
          <w:b/>
        </w:rPr>
      </w:pPr>
      <w:r w:rsidRPr="00557192">
        <w:rPr>
          <w:bCs/>
        </w:rPr>
        <w:t>Спецификацию на поставку товара</w:t>
      </w:r>
      <w:r w:rsidR="004D69B9" w:rsidRPr="004D69B9">
        <w:t xml:space="preserve"> </w:t>
      </w:r>
      <w:r w:rsidR="004D69B9" w:rsidRPr="00557192">
        <w:t>(</w:t>
      </w:r>
      <w:r w:rsidRPr="00557192">
        <w:rPr>
          <w:bCs/>
        </w:rPr>
        <w:t>Приложение</w:t>
      </w:r>
      <w:r w:rsidR="001E7C1D">
        <w:rPr>
          <w:bCs/>
        </w:rPr>
        <w:t xml:space="preserve"> №3</w:t>
      </w:r>
      <w:r w:rsidRPr="00557192">
        <w:rPr>
          <w:b/>
          <w:bCs/>
        </w:rPr>
        <w:t xml:space="preserve"> </w:t>
      </w:r>
      <w:r w:rsidR="001E7C1D">
        <w:t>к</w:t>
      </w:r>
      <w:r w:rsidR="001E7C1D" w:rsidRPr="001E7C1D">
        <w:rPr>
          <w:bCs/>
        </w:rPr>
        <w:t xml:space="preserve"> извещению о проведении открытого</w:t>
      </w:r>
      <w:r w:rsidR="001E7C1D">
        <w:rPr>
          <w:bCs/>
        </w:rPr>
        <w:t xml:space="preserve"> </w:t>
      </w:r>
      <w:r w:rsidR="001E7C1D" w:rsidRPr="001E7C1D">
        <w:rPr>
          <w:bCs/>
        </w:rPr>
        <w:t>запроса котировок в электронной форме</w:t>
      </w:r>
      <w:r w:rsidR="001E7C1D" w:rsidRPr="001E7C1D">
        <w:rPr>
          <w:rFonts w:eastAsia="Times New Roman"/>
          <w:bCs/>
          <w:color w:val="auto"/>
          <w:lang w:eastAsia="ru-RU"/>
        </w:rPr>
        <w:t xml:space="preserve"> </w:t>
      </w:r>
      <w:r w:rsidR="001E7C1D" w:rsidRPr="001E7C1D">
        <w:rPr>
          <w:bCs/>
        </w:rPr>
        <w:t>от 20.05.2024 г. № ЗКЭФ-ДЭУК-884</w:t>
      </w:r>
      <w:r w:rsidR="004D69B9" w:rsidRPr="004D69B9">
        <w:t>) изложить в следующей редакции:</w:t>
      </w:r>
    </w:p>
    <w:tbl>
      <w:tblPr>
        <w:tblW w:w="4980" w:type="pct"/>
        <w:tblLayout w:type="fixed"/>
        <w:tblLook w:val="04A0" w:firstRow="1" w:lastRow="0" w:firstColumn="1" w:lastColumn="0" w:noHBand="0" w:noVBand="1"/>
      </w:tblPr>
      <w:tblGrid>
        <w:gridCol w:w="383"/>
        <w:gridCol w:w="510"/>
        <w:gridCol w:w="1844"/>
        <w:gridCol w:w="2241"/>
        <w:gridCol w:w="657"/>
        <w:gridCol w:w="660"/>
        <w:gridCol w:w="1054"/>
        <w:gridCol w:w="1184"/>
        <w:gridCol w:w="1847"/>
        <w:gridCol w:w="1487"/>
        <w:gridCol w:w="910"/>
        <w:gridCol w:w="798"/>
        <w:gridCol w:w="1152"/>
      </w:tblGrid>
      <w:tr w:rsidR="001E7C1D" w:rsidRPr="001E7C1D" w:rsidTr="00922E0D">
        <w:trPr>
          <w:trHeight w:val="227"/>
        </w:trPr>
        <w:tc>
          <w:tcPr>
            <w:tcW w:w="130" w:type="pct"/>
            <w:vMerge w:val="restart"/>
            <w:tcBorders>
              <w:top w:val="single" w:sz="4" w:space="0" w:color="auto"/>
              <w:left w:val="single" w:sz="4" w:space="0" w:color="auto"/>
              <w:right w:val="single" w:sz="4" w:space="0" w:color="auto"/>
            </w:tcBorders>
            <w:shd w:val="clear" w:color="auto" w:fill="auto"/>
            <w:noWrap/>
            <w:vAlign w:val="center"/>
            <w:hideMark/>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w:t>
            </w:r>
          </w:p>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roofErr w:type="gramStart"/>
            <w:r w:rsidRPr="001E7C1D">
              <w:rPr>
                <w:rFonts w:ascii="Times New Roman" w:eastAsia="Times New Roman" w:hAnsi="Times New Roman" w:cs="Times New Roman"/>
                <w:b/>
                <w:sz w:val="20"/>
                <w:szCs w:val="20"/>
                <w:lang w:eastAsia="ru-RU"/>
              </w:rPr>
              <w:t>п</w:t>
            </w:r>
            <w:proofErr w:type="gramEnd"/>
            <w:r w:rsidRPr="001E7C1D">
              <w:rPr>
                <w:rFonts w:ascii="Times New Roman" w:eastAsia="Times New Roman" w:hAnsi="Times New Roman" w:cs="Times New Roman"/>
                <w:b/>
                <w:sz w:val="20"/>
                <w:szCs w:val="20"/>
                <w:lang w:eastAsia="ru-RU"/>
              </w:rPr>
              <w:t>/п</w:t>
            </w:r>
          </w:p>
        </w:tc>
        <w:tc>
          <w:tcPr>
            <w:tcW w:w="1560" w:type="pct"/>
            <w:gridSpan w:val="3"/>
            <w:vMerge w:val="restart"/>
            <w:tcBorders>
              <w:top w:val="single" w:sz="4" w:space="0" w:color="auto"/>
              <w:left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rPr>
              <w:t>Требования к товару, предъявляемые заказчиком</w:t>
            </w:r>
          </w:p>
        </w:tc>
        <w:tc>
          <w:tcPr>
            <w:tcW w:w="223" w:type="pct"/>
            <w:vMerge w:val="restart"/>
            <w:tcBorders>
              <w:top w:val="single" w:sz="4" w:space="0" w:color="auto"/>
              <w:left w:val="single" w:sz="4" w:space="0" w:color="auto"/>
              <w:right w:val="single" w:sz="4" w:space="0" w:color="auto"/>
            </w:tcBorders>
            <w:shd w:val="clear" w:color="auto" w:fill="auto"/>
            <w:vAlign w:val="center"/>
            <w:hideMark/>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Ед. изм.</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Кол-во</w:t>
            </w:r>
          </w:p>
        </w:tc>
        <w:tc>
          <w:tcPr>
            <w:tcW w:w="760" w:type="pct"/>
            <w:gridSpan w:val="2"/>
            <w:tcBorders>
              <w:top w:val="single" w:sz="4" w:space="0" w:color="auto"/>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Начальная (максимальная) цена, руб., без учета НДС</w:t>
            </w:r>
          </w:p>
        </w:tc>
        <w:tc>
          <w:tcPr>
            <w:tcW w:w="2103" w:type="pct"/>
            <w:gridSpan w:val="5"/>
            <w:tcBorders>
              <w:top w:val="single" w:sz="4" w:space="0" w:color="auto"/>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Предложение участника закупки</w:t>
            </w:r>
          </w:p>
        </w:tc>
      </w:tr>
      <w:tr w:rsidR="001E7C1D" w:rsidRPr="001E7C1D" w:rsidTr="00922E0D">
        <w:trPr>
          <w:trHeight w:val="403"/>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1560" w:type="pct"/>
            <w:gridSpan w:val="3"/>
            <w:vMerge/>
            <w:tcBorders>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3" w:type="pct"/>
            <w:vMerge/>
            <w:tcBorders>
              <w:left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val="restart"/>
            <w:tcBorders>
              <w:top w:val="single" w:sz="4" w:space="0" w:color="auto"/>
              <w:left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за единицу товара</w:t>
            </w:r>
          </w:p>
        </w:tc>
        <w:tc>
          <w:tcPr>
            <w:tcW w:w="402" w:type="pct"/>
            <w:vMerge w:val="restart"/>
            <w:tcBorders>
              <w:top w:val="single" w:sz="4" w:space="0" w:color="auto"/>
              <w:left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всего</w:t>
            </w:r>
          </w:p>
        </w:tc>
        <w:tc>
          <w:tcPr>
            <w:tcW w:w="627" w:type="pct"/>
            <w:vMerge w:val="restart"/>
            <w:tcBorders>
              <w:top w:val="single" w:sz="4" w:space="0" w:color="auto"/>
              <w:left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Наименование параметра</w:t>
            </w:r>
          </w:p>
        </w:tc>
        <w:tc>
          <w:tcPr>
            <w:tcW w:w="505" w:type="pct"/>
            <w:vMerge w:val="restart"/>
            <w:tcBorders>
              <w:top w:val="single" w:sz="4" w:space="0" w:color="auto"/>
              <w:left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Характеристика параметра</w:t>
            </w:r>
          </w:p>
        </w:tc>
        <w:tc>
          <w:tcPr>
            <w:tcW w:w="309" w:type="pct"/>
            <w:vMerge w:val="restart"/>
            <w:tcBorders>
              <w:top w:val="single" w:sz="4" w:space="0" w:color="auto"/>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За единицу товара, руб., без учета НДС</w:t>
            </w:r>
          </w:p>
        </w:tc>
        <w:tc>
          <w:tcPr>
            <w:tcW w:w="271" w:type="pct"/>
            <w:vMerge w:val="restart"/>
            <w:tcBorders>
              <w:top w:val="single" w:sz="4" w:space="0" w:color="auto"/>
              <w:left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Всего, руб., без учета НДС</w:t>
            </w:r>
          </w:p>
        </w:tc>
        <w:tc>
          <w:tcPr>
            <w:tcW w:w="391" w:type="pct"/>
            <w:vMerge w:val="restart"/>
            <w:tcBorders>
              <w:top w:val="single" w:sz="4" w:space="0" w:color="auto"/>
              <w:left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Информация о стране происхождения товара</w:t>
            </w:r>
          </w:p>
        </w:tc>
      </w:tr>
      <w:tr w:rsidR="001E7C1D" w:rsidRPr="001E7C1D" w:rsidTr="00922E0D">
        <w:trPr>
          <w:trHeight w:val="518"/>
        </w:trPr>
        <w:tc>
          <w:tcPr>
            <w:tcW w:w="130" w:type="pct"/>
            <w:vMerge/>
            <w:tcBorders>
              <w:left w:val="single" w:sz="4" w:space="0" w:color="auto"/>
              <w:bottom w:val="single" w:sz="4" w:space="0" w:color="auto"/>
              <w:right w:val="single" w:sz="4" w:space="0" w:color="auto"/>
            </w:tcBorders>
            <w:shd w:val="clear" w:color="auto" w:fill="auto"/>
            <w:noWrap/>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173"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w:t>
            </w:r>
          </w:p>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roofErr w:type="gramStart"/>
            <w:r w:rsidRPr="001E7C1D">
              <w:rPr>
                <w:rFonts w:ascii="Times New Roman" w:eastAsia="Times New Roman" w:hAnsi="Times New Roman" w:cs="Times New Roman"/>
                <w:b/>
                <w:sz w:val="20"/>
                <w:szCs w:val="20"/>
                <w:lang w:eastAsia="ru-RU"/>
              </w:rPr>
              <w:t>п</w:t>
            </w:r>
            <w:proofErr w:type="gramEnd"/>
            <w:r w:rsidRPr="001E7C1D">
              <w:rPr>
                <w:rFonts w:ascii="Times New Roman" w:eastAsia="Times New Roman" w:hAnsi="Times New Roman" w:cs="Times New Roman"/>
                <w:b/>
                <w:sz w:val="20"/>
                <w:szCs w:val="20"/>
                <w:lang w:eastAsia="ru-RU"/>
              </w:rPr>
              <w:t>/п</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Наименование параметра</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Характеристика параметра</w:t>
            </w:r>
          </w:p>
        </w:tc>
        <w:tc>
          <w:tcPr>
            <w:tcW w:w="223" w:type="pct"/>
            <w:vMerge/>
            <w:tcBorders>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
        </w:tc>
        <w:tc>
          <w:tcPr>
            <w:tcW w:w="402" w:type="pct"/>
            <w:vMerge/>
            <w:tcBorders>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
        </w:tc>
        <w:tc>
          <w:tcPr>
            <w:tcW w:w="627" w:type="pct"/>
            <w:vMerge/>
            <w:tcBorders>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
        </w:tc>
        <w:tc>
          <w:tcPr>
            <w:tcW w:w="505" w:type="pct"/>
            <w:vMerge/>
            <w:tcBorders>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
        </w:tc>
        <w:tc>
          <w:tcPr>
            <w:tcW w:w="309" w:type="pct"/>
            <w:vMerge/>
            <w:tcBorders>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
        </w:tc>
        <w:tc>
          <w:tcPr>
            <w:tcW w:w="271" w:type="pct"/>
            <w:vMerge/>
            <w:tcBorders>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
        </w:tc>
        <w:tc>
          <w:tcPr>
            <w:tcW w:w="391" w:type="pct"/>
            <w:vMerge/>
            <w:tcBorders>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b/>
                <w:sz w:val="20"/>
                <w:szCs w:val="20"/>
                <w:lang w:eastAsia="ru-RU"/>
              </w:rPr>
            </w:pPr>
          </w:p>
        </w:tc>
      </w:tr>
      <w:tr w:rsidR="001E7C1D" w:rsidRPr="001E7C1D" w:rsidTr="00922E0D">
        <w:trPr>
          <w:trHeight w:val="22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1</w:t>
            </w:r>
          </w:p>
        </w:tc>
        <w:tc>
          <w:tcPr>
            <w:tcW w:w="173"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3</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6</w:t>
            </w:r>
          </w:p>
        </w:tc>
        <w:tc>
          <w:tcPr>
            <w:tcW w:w="358"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7</w:t>
            </w:r>
          </w:p>
        </w:tc>
        <w:tc>
          <w:tcPr>
            <w:tcW w:w="402"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8</w:t>
            </w:r>
          </w:p>
        </w:tc>
        <w:tc>
          <w:tcPr>
            <w:tcW w:w="627"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9</w:t>
            </w:r>
          </w:p>
        </w:tc>
        <w:tc>
          <w:tcPr>
            <w:tcW w:w="505"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10</w:t>
            </w:r>
          </w:p>
        </w:tc>
        <w:tc>
          <w:tcPr>
            <w:tcW w:w="309"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11</w:t>
            </w:r>
          </w:p>
        </w:tc>
        <w:tc>
          <w:tcPr>
            <w:tcW w:w="271"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12</w:t>
            </w:r>
          </w:p>
        </w:tc>
        <w:tc>
          <w:tcPr>
            <w:tcW w:w="391"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b/>
                <w:i/>
                <w:sz w:val="20"/>
                <w:szCs w:val="20"/>
                <w:lang w:eastAsia="ru-RU"/>
              </w:rPr>
            </w:pPr>
            <w:r w:rsidRPr="001E7C1D">
              <w:rPr>
                <w:rFonts w:ascii="Times New Roman" w:eastAsia="Times New Roman" w:hAnsi="Times New Roman" w:cs="Times New Roman"/>
                <w:b/>
                <w:i/>
                <w:sz w:val="20"/>
                <w:szCs w:val="20"/>
                <w:lang w:eastAsia="ru-RU"/>
              </w:rPr>
              <w:t>13</w:t>
            </w:r>
          </w:p>
        </w:tc>
      </w:tr>
      <w:tr w:rsidR="001E7C1D" w:rsidRPr="001E7C1D" w:rsidTr="00922E0D">
        <w:trPr>
          <w:trHeight w:val="227"/>
        </w:trPr>
        <w:tc>
          <w:tcPr>
            <w:tcW w:w="130" w:type="pct"/>
            <w:vMerge w:val="restart"/>
            <w:tcBorders>
              <w:top w:val="single" w:sz="4" w:space="0" w:color="auto"/>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Calibri" w:hAnsi="Times New Roman" w:cs="Times New Roman"/>
                <w:sz w:val="20"/>
                <w:szCs w:val="20"/>
              </w:rPr>
            </w:pPr>
            <w:r w:rsidRPr="001E7C1D">
              <w:rPr>
                <w:rFonts w:ascii="Times New Roman" w:eastAsia="Calibri" w:hAnsi="Times New Roman" w:cs="Times New Roman"/>
                <w:sz w:val="20"/>
                <w:szCs w:val="20"/>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 xml:space="preserve">Модель </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bCs/>
                <w:sz w:val="20"/>
                <w:szCs w:val="20"/>
              </w:rPr>
              <w:t>снегоход F</w:t>
            </w:r>
            <w:proofErr w:type="spellStart"/>
            <w:r w:rsidRPr="001E7C1D">
              <w:rPr>
                <w:rFonts w:ascii="Times New Roman" w:eastAsia="Calibri" w:hAnsi="Times New Roman" w:cs="Times New Roman"/>
                <w:bCs/>
                <w:sz w:val="20"/>
                <w:szCs w:val="20"/>
                <w:lang w:val="en-US"/>
              </w:rPr>
              <w:t>rontier</w:t>
            </w:r>
            <w:proofErr w:type="spellEnd"/>
            <w:r w:rsidRPr="001E7C1D">
              <w:rPr>
                <w:rFonts w:ascii="Times New Roman" w:eastAsia="Calibri" w:hAnsi="Times New Roman" w:cs="Times New Roman"/>
                <w:bCs/>
                <w:sz w:val="20"/>
                <w:szCs w:val="20"/>
              </w:rPr>
              <w:t xml:space="preserve"> 1000</w:t>
            </w:r>
            <w:r w:rsidRPr="001E7C1D">
              <w:rPr>
                <w:rFonts w:ascii="Times New Roman" w:eastAsia="Calibri" w:hAnsi="Times New Roman" w:cs="Times New Roman"/>
                <w:sz w:val="20"/>
                <w:szCs w:val="20"/>
              </w:rPr>
              <w:t xml:space="preserve"> или «эквивалент» согласно указанным ниже техническим характеристикам</w:t>
            </w:r>
          </w:p>
        </w:tc>
        <w:tc>
          <w:tcPr>
            <w:tcW w:w="223" w:type="pct"/>
            <w:vMerge w:val="restart"/>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шт.</w:t>
            </w:r>
          </w:p>
        </w:tc>
        <w:tc>
          <w:tcPr>
            <w:tcW w:w="224" w:type="pct"/>
            <w:vMerge w:val="restart"/>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w:t>
            </w:r>
          </w:p>
        </w:tc>
        <w:tc>
          <w:tcPr>
            <w:tcW w:w="358" w:type="pct"/>
            <w:vMerge w:val="restart"/>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ind w:left="-107" w:right="-109"/>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1 291 666,67</w:t>
            </w:r>
          </w:p>
        </w:tc>
        <w:tc>
          <w:tcPr>
            <w:tcW w:w="402" w:type="pct"/>
            <w:vMerge w:val="restart"/>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ind w:left="-109" w:right="-107"/>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2 583 333,34</w:t>
            </w: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 xml:space="preserve">Модель </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val="restart"/>
            <w:tcBorders>
              <w:top w:val="single" w:sz="4" w:space="0" w:color="auto"/>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val="restart"/>
            <w:tcBorders>
              <w:top w:val="single" w:sz="4" w:space="0" w:color="auto"/>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val="restart"/>
            <w:tcBorders>
              <w:top w:val="single" w:sz="4" w:space="0" w:color="auto"/>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top w:val="single" w:sz="4" w:space="0" w:color="auto"/>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Calibri" w:hAnsi="Times New Roman" w:cs="Times New Roman"/>
                <w:sz w:val="20"/>
                <w:szCs w:val="20"/>
              </w:rPr>
            </w:pPr>
            <w:r w:rsidRPr="001E7C1D">
              <w:rPr>
                <w:rFonts w:ascii="Times New Roman" w:eastAsia="Times New Roman" w:hAnsi="Times New Roman" w:cs="Times New Roman"/>
                <w:color w:val="000000"/>
                <w:sz w:val="20"/>
                <w:szCs w:val="20"/>
                <w:lang w:eastAsia="ru-RU"/>
              </w:rPr>
              <w:t>2</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Calibri" w:hAnsi="Times New Roman" w:cs="Times New Roman"/>
                <w:sz w:val="20"/>
                <w:szCs w:val="20"/>
              </w:rPr>
            </w:pPr>
            <w:r w:rsidRPr="001E7C1D">
              <w:rPr>
                <w:rFonts w:ascii="Times New Roman" w:eastAsia="Calibri" w:hAnsi="Times New Roman" w:cs="Times New Roman"/>
                <w:sz w:val="20"/>
                <w:szCs w:val="20"/>
              </w:rPr>
              <w:t xml:space="preserve">Двигатель </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Calibri" w:hAnsi="Times New Roman" w:cs="Times New Roman"/>
                <w:sz w:val="20"/>
                <w:szCs w:val="20"/>
              </w:rPr>
            </w:pPr>
            <w:r w:rsidRPr="001E7C1D">
              <w:rPr>
                <w:rFonts w:ascii="Times New Roman" w:eastAsia="Calibri" w:hAnsi="Times New Roman" w:cs="Times New Roman"/>
                <w:sz w:val="20"/>
                <w:szCs w:val="20"/>
              </w:rPr>
              <w:t>ODES V1000 или «эквивалент»</w:t>
            </w:r>
          </w:p>
        </w:tc>
        <w:tc>
          <w:tcPr>
            <w:tcW w:w="223" w:type="pct"/>
            <w:vMerge/>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ind w:left="-107" w:right="-109"/>
              <w:jc w:val="center"/>
              <w:rPr>
                <w:rFonts w:ascii="Times New Roman" w:eastAsia="Times New Roman" w:hAnsi="Times New Roman" w:cs="Times New Roman"/>
                <w:color w:val="000000"/>
                <w:sz w:val="20"/>
                <w:szCs w:val="20"/>
                <w:lang w:eastAsia="ru-RU"/>
              </w:rPr>
            </w:pPr>
          </w:p>
        </w:tc>
        <w:tc>
          <w:tcPr>
            <w:tcW w:w="402" w:type="pct"/>
            <w:vMerge/>
            <w:tcBorders>
              <w:top w:val="single" w:sz="4" w:space="0" w:color="auto"/>
              <w:left w:val="single" w:sz="6" w:space="0" w:color="auto"/>
              <w:right w:val="single" w:sz="6" w:space="0" w:color="auto"/>
            </w:tcBorders>
            <w:shd w:val="clear" w:color="auto" w:fill="auto"/>
          </w:tcPr>
          <w:p w:rsidR="001E7C1D" w:rsidRPr="001E7C1D" w:rsidRDefault="001E7C1D" w:rsidP="001E7C1D">
            <w:pPr>
              <w:spacing w:after="0" w:line="240" w:lineRule="auto"/>
              <w:ind w:left="-109" w:right="-107"/>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Calibri" w:hAnsi="Times New Roman" w:cs="Times New Roman"/>
                <w:sz w:val="20"/>
                <w:szCs w:val="20"/>
              </w:rPr>
            </w:pPr>
            <w:r w:rsidRPr="001E7C1D">
              <w:rPr>
                <w:rFonts w:ascii="Times New Roman" w:eastAsia="Calibri" w:hAnsi="Times New Roman" w:cs="Times New Roman"/>
                <w:sz w:val="20"/>
                <w:szCs w:val="20"/>
              </w:rPr>
              <w:t>Двигатель</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Объем, куб </w:t>
            </w:r>
            <w:proofErr w:type="gramStart"/>
            <w:r w:rsidRPr="001E7C1D">
              <w:rPr>
                <w:rFonts w:ascii="Times New Roman" w:eastAsia="Times New Roman" w:hAnsi="Times New Roman" w:cs="Times New Roman"/>
                <w:color w:val="000000"/>
                <w:sz w:val="20"/>
                <w:szCs w:val="20"/>
                <w:lang w:eastAsia="ru-RU"/>
              </w:rPr>
              <w:t>см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не менее</w:t>
            </w:r>
            <w:r w:rsidRPr="001E7C1D">
              <w:rPr>
                <w:rFonts w:ascii="Times New Roman" w:eastAsia="Calibri" w:hAnsi="Times New Roman" w:cs="Times New Roman"/>
                <w:sz w:val="20"/>
                <w:szCs w:val="20"/>
              </w:rPr>
              <w:t xml:space="preserve"> 976</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Объем, куб </w:t>
            </w:r>
            <w:proofErr w:type="gramStart"/>
            <w:r w:rsidRPr="001E7C1D">
              <w:rPr>
                <w:rFonts w:ascii="Times New Roman" w:eastAsia="Times New Roman" w:hAnsi="Times New Roman" w:cs="Times New Roman"/>
                <w:color w:val="000000"/>
                <w:sz w:val="20"/>
                <w:szCs w:val="20"/>
                <w:lang w:eastAsia="ru-RU"/>
              </w:rPr>
              <w:t>см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4</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Число цилиндров</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Не менее 2</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Число цилиндров</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5</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Тип </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4-тактный</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Тип </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6</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Ход поршня, </w:t>
            </w:r>
            <w:proofErr w:type="gramStart"/>
            <w:r w:rsidRPr="001E7C1D">
              <w:rPr>
                <w:rFonts w:ascii="Times New Roman" w:eastAsia="Times New Roman" w:hAnsi="Times New Roman" w:cs="Times New Roman"/>
                <w:color w:val="000000"/>
                <w:sz w:val="20"/>
                <w:szCs w:val="20"/>
                <w:lang w:eastAsia="ru-RU"/>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не менее</w:t>
            </w:r>
            <w:r w:rsidRPr="001E7C1D">
              <w:rPr>
                <w:rFonts w:ascii="Times New Roman" w:eastAsia="Calibri" w:hAnsi="Times New Roman" w:cs="Times New Roman"/>
                <w:sz w:val="20"/>
                <w:szCs w:val="20"/>
              </w:rPr>
              <w:t xml:space="preserve"> 75</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Ход поршня, </w:t>
            </w:r>
            <w:proofErr w:type="gramStart"/>
            <w:r w:rsidRPr="001E7C1D">
              <w:rPr>
                <w:rFonts w:ascii="Times New Roman" w:eastAsia="Times New Roman" w:hAnsi="Times New Roman" w:cs="Times New Roman"/>
                <w:color w:val="000000"/>
                <w:sz w:val="20"/>
                <w:szCs w:val="20"/>
                <w:lang w:eastAsia="ru-RU"/>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7</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Диаметр цилиндра, </w:t>
            </w:r>
            <w:proofErr w:type="gramStart"/>
            <w:r w:rsidRPr="001E7C1D">
              <w:rPr>
                <w:rFonts w:ascii="Times New Roman" w:eastAsia="Times New Roman" w:hAnsi="Times New Roman" w:cs="Times New Roman"/>
                <w:color w:val="000000"/>
                <w:sz w:val="20"/>
                <w:szCs w:val="20"/>
                <w:lang w:eastAsia="ru-RU"/>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не менее</w:t>
            </w:r>
            <w:r w:rsidRPr="001E7C1D">
              <w:rPr>
                <w:rFonts w:ascii="Times New Roman" w:eastAsia="Calibri" w:hAnsi="Times New Roman" w:cs="Times New Roman"/>
                <w:sz w:val="20"/>
                <w:szCs w:val="20"/>
              </w:rPr>
              <w:t xml:space="preserve"> 91</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Диаметр цилиндра, </w:t>
            </w:r>
            <w:proofErr w:type="gramStart"/>
            <w:r w:rsidRPr="001E7C1D">
              <w:rPr>
                <w:rFonts w:ascii="Times New Roman" w:eastAsia="Times New Roman" w:hAnsi="Times New Roman" w:cs="Times New Roman"/>
                <w:color w:val="000000"/>
                <w:sz w:val="20"/>
                <w:szCs w:val="20"/>
                <w:lang w:eastAsia="ru-RU"/>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8</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Мощность, </w:t>
            </w:r>
            <w:proofErr w:type="spellStart"/>
            <w:r w:rsidRPr="001E7C1D">
              <w:rPr>
                <w:rFonts w:ascii="Times New Roman" w:eastAsia="Times New Roman" w:hAnsi="Times New Roman" w:cs="Times New Roman"/>
                <w:color w:val="000000"/>
                <w:sz w:val="20"/>
                <w:szCs w:val="20"/>
                <w:lang w:eastAsia="ru-RU"/>
              </w:rPr>
              <w:t>л.с</w:t>
            </w:r>
            <w:proofErr w:type="spellEnd"/>
            <w:r w:rsidRPr="001E7C1D">
              <w:rPr>
                <w:rFonts w:ascii="Times New Roman" w:eastAsia="Times New Roman" w:hAnsi="Times New Roman" w:cs="Times New Roman"/>
                <w:color w:val="000000"/>
                <w:sz w:val="20"/>
                <w:szCs w:val="20"/>
                <w:lang w:eastAsia="ru-RU"/>
              </w:rPr>
              <w:t xml:space="preserve">./кВт </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не менее</w:t>
            </w:r>
            <w:r w:rsidRPr="001E7C1D">
              <w:rPr>
                <w:rFonts w:ascii="Times New Roman" w:eastAsia="Calibri" w:hAnsi="Times New Roman" w:cs="Times New Roman"/>
                <w:sz w:val="20"/>
                <w:szCs w:val="20"/>
              </w:rPr>
              <w:t xml:space="preserve"> 72 /53</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Мощность, </w:t>
            </w:r>
            <w:proofErr w:type="spellStart"/>
            <w:r w:rsidRPr="001E7C1D">
              <w:rPr>
                <w:rFonts w:ascii="Times New Roman" w:eastAsia="Times New Roman" w:hAnsi="Times New Roman" w:cs="Times New Roman"/>
                <w:color w:val="000000"/>
                <w:sz w:val="20"/>
                <w:szCs w:val="20"/>
                <w:lang w:eastAsia="ru-RU"/>
              </w:rPr>
              <w:t>л.с</w:t>
            </w:r>
            <w:proofErr w:type="spellEnd"/>
            <w:r w:rsidRPr="001E7C1D">
              <w:rPr>
                <w:rFonts w:ascii="Times New Roman" w:eastAsia="Times New Roman" w:hAnsi="Times New Roman" w:cs="Times New Roman"/>
                <w:color w:val="000000"/>
                <w:sz w:val="20"/>
                <w:szCs w:val="20"/>
                <w:lang w:eastAsia="ru-RU"/>
              </w:rPr>
              <w:t xml:space="preserve">./кВт </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9</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Топливная система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EFI (электронная система впрыска топлива)</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Топливная система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10</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Топливо</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Бензин</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Топливо</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11</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Охлаждение</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Жидкостное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Охлаждение</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12</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Система выпуска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Глушитель</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Система выпуска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13</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Тип выпуска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Выхлопная труба</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Тип выпуска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14</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Система впуска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Глушитель шума впуска</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Система впуска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color w:val="000000"/>
                <w:sz w:val="20"/>
                <w:szCs w:val="20"/>
                <w:lang w:eastAsia="ru-RU"/>
              </w:rPr>
              <w:t>15</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Система смазки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 xml:space="preserve">Мокрый картер, смазка под давлением и разбрызгиванием </w:t>
            </w:r>
            <w:r w:rsidRPr="001E7C1D">
              <w:rPr>
                <w:rFonts w:ascii="Times New Roman" w:eastAsia="Calibri" w:hAnsi="Times New Roman" w:cs="Times New Roman"/>
                <w:sz w:val="20"/>
                <w:szCs w:val="20"/>
              </w:rPr>
              <w:lastRenderedPageBreak/>
              <w:t>(комбинированная)</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Система смазки</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r w:rsidRPr="001E7C1D">
              <w:rPr>
                <w:rFonts w:ascii="Times New Roman" w:eastAsia="Times New Roman" w:hAnsi="Times New Roman" w:cs="Times New Roman"/>
                <w:sz w:val="20"/>
                <w:szCs w:val="20"/>
                <w:lang w:eastAsia="ru-RU"/>
              </w:rPr>
              <w:t>16</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Максимальная скорость, </w:t>
            </w:r>
            <w:proofErr w:type="gramStart"/>
            <w:r w:rsidRPr="001E7C1D">
              <w:rPr>
                <w:rFonts w:ascii="Times New Roman" w:eastAsia="Times New Roman" w:hAnsi="Times New Roman" w:cs="Times New Roman"/>
                <w:color w:val="000000"/>
                <w:sz w:val="20"/>
                <w:szCs w:val="20"/>
                <w:lang w:eastAsia="ru-RU"/>
              </w:rPr>
              <w:t>км</w:t>
            </w:r>
            <w:proofErr w:type="gramEnd"/>
            <w:r w:rsidRPr="001E7C1D">
              <w:rPr>
                <w:rFonts w:ascii="Times New Roman" w:eastAsia="Times New Roman" w:hAnsi="Times New Roman" w:cs="Times New Roman"/>
                <w:color w:val="000000"/>
                <w:sz w:val="20"/>
                <w:szCs w:val="20"/>
                <w:lang w:eastAsia="ru-RU"/>
              </w:rPr>
              <w:t xml:space="preserve">/ч </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не менее</w:t>
            </w:r>
            <w:r w:rsidRPr="001E7C1D">
              <w:rPr>
                <w:rFonts w:ascii="Times New Roman" w:eastAsia="Calibri" w:hAnsi="Times New Roman" w:cs="Times New Roman"/>
                <w:sz w:val="20"/>
                <w:szCs w:val="20"/>
              </w:rPr>
              <w:t xml:space="preserve"> 110</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color w:val="000000"/>
                <w:sz w:val="20"/>
                <w:szCs w:val="20"/>
                <w:lang w:eastAsia="ru-RU"/>
              </w:rPr>
              <w:t xml:space="preserve">Максимальная скорость, </w:t>
            </w:r>
            <w:proofErr w:type="gramStart"/>
            <w:r w:rsidRPr="001E7C1D">
              <w:rPr>
                <w:rFonts w:ascii="Times New Roman" w:eastAsia="Times New Roman" w:hAnsi="Times New Roman" w:cs="Times New Roman"/>
                <w:color w:val="000000"/>
                <w:sz w:val="20"/>
                <w:szCs w:val="20"/>
                <w:lang w:eastAsia="ru-RU"/>
              </w:rPr>
              <w:t>км</w:t>
            </w:r>
            <w:proofErr w:type="gramEnd"/>
            <w:r w:rsidRPr="001E7C1D">
              <w:rPr>
                <w:rFonts w:ascii="Times New Roman" w:eastAsia="Times New Roman" w:hAnsi="Times New Roman" w:cs="Times New Roman"/>
                <w:color w:val="000000"/>
                <w:sz w:val="20"/>
                <w:szCs w:val="20"/>
                <w:lang w:eastAsia="ru-RU"/>
              </w:rPr>
              <w:t xml:space="preserve">/ч </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17</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Цвет</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Комбинированный серебристый/черный или оттенки с возможностью комбинации (на усмотрение участника)</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Цвет</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18</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Количество мест</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менее 2</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Количество мест</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19</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Спидометр/одометр</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Спидометр/одометр</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20</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Ветровое стекло</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Ветровое стекло</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21</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Светодиодная головная фара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Светодиодная головная фара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22</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Передние ходовые огни</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Передние ходовые огни</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23</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Нескользящее сиденье из влагостойкого морозоустойчивого материала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Нескользящее сиденье из влагостойкого морозоустойчивого материала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24</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Подогрев рукояток и курка газа водителя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Подогрев рукояток и курка газа водителя</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25</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Подогрев рукояток сиденья пассажира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Подогрев рукояток сиденья пассажира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26</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Розетки для обогрева </w:t>
            </w:r>
            <w:proofErr w:type="spellStart"/>
            <w:r w:rsidRPr="001E7C1D">
              <w:rPr>
                <w:rFonts w:ascii="Times New Roman" w:eastAsia="Times New Roman" w:hAnsi="Times New Roman" w:cs="Times New Roman"/>
                <w:sz w:val="20"/>
                <w:szCs w:val="20"/>
                <w:lang w:eastAsia="ru-RU"/>
              </w:rPr>
              <w:t>визоров</w:t>
            </w:r>
            <w:proofErr w:type="spellEnd"/>
            <w:r w:rsidRPr="001E7C1D">
              <w:rPr>
                <w:rFonts w:ascii="Times New Roman" w:eastAsia="Times New Roman" w:hAnsi="Times New Roman" w:cs="Times New Roman"/>
                <w:sz w:val="20"/>
                <w:szCs w:val="20"/>
                <w:lang w:eastAsia="ru-RU"/>
              </w:rPr>
              <w:t xml:space="preserve"> шлемов водителя и пассажира </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shd w:val="clear" w:color="auto" w:fill="FFFFFF"/>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Розетки для обогрева </w:t>
            </w:r>
            <w:proofErr w:type="spellStart"/>
            <w:r w:rsidRPr="001E7C1D">
              <w:rPr>
                <w:rFonts w:ascii="Times New Roman" w:eastAsia="Times New Roman" w:hAnsi="Times New Roman" w:cs="Times New Roman"/>
                <w:sz w:val="20"/>
                <w:szCs w:val="20"/>
                <w:lang w:eastAsia="ru-RU"/>
              </w:rPr>
              <w:t>визоров</w:t>
            </w:r>
            <w:proofErr w:type="spellEnd"/>
            <w:r w:rsidRPr="001E7C1D">
              <w:rPr>
                <w:rFonts w:ascii="Times New Roman" w:eastAsia="Times New Roman" w:hAnsi="Times New Roman" w:cs="Times New Roman"/>
                <w:sz w:val="20"/>
                <w:szCs w:val="20"/>
                <w:lang w:eastAsia="ru-RU"/>
              </w:rPr>
              <w:t xml:space="preserve"> шлемов водителя и пассажира </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27</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proofErr w:type="spellStart"/>
            <w:r w:rsidRPr="001E7C1D">
              <w:rPr>
                <w:rFonts w:ascii="Times New Roman" w:eastAsia="Times New Roman" w:hAnsi="Times New Roman" w:cs="Times New Roman"/>
                <w:sz w:val="20"/>
                <w:szCs w:val="20"/>
                <w:lang w:eastAsia="ru-RU"/>
              </w:rPr>
              <w:t>Фаркоп</w:t>
            </w:r>
            <w:proofErr w:type="spellEnd"/>
            <w:r w:rsidRPr="001E7C1D">
              <w:rPr>
                <w:rFonts w:ascii="Times New Roman" w:eastAsia="Times New Roman" w:hAnsi="Times New Roman" w:cs="Times New Roman"/>
                <w:sz w:val="20"/>
                <w:szCs w:val="20"/>
                <w:lang w:eastAsia="ru-RU"/>
              </w:rPr>
              <w:t xml:space="preserve"> (крюк сцепки)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proofErr w:type="spellStart"/>
            <w:r w:rsidRPr="001E7C1D">
              <w:rPr>
                <w:rFonts w:ascii="Times New Roman" w:eastAsia="Times New Roman" w:hAnsi="Times New Roman" w:cs="Times New Roman"/>
                <w:sz w:val="20"/>
                <w:szCs w:val="20"/>
                <w:lang w:eastAsia="ru-RU"/>
              </w:rPr>
              <w:t>Фаркоп</w:t>
            </w:r>
            <w:proofErr w:type="spellEnd"/>
            <w:r w:rsidRPr="001E7C1D">
              <w:rPr>
                <w:rFonts w:ascii="Times New Roman" w:eastAsia="Times New Roman" w:hAnsi="Times New Roman" w:cs="Times New Roman"/>
                <w:sz w:val="20"/>
                <w:szCs w:val="20"/>
                <w:lang w:eastAsia="ru-RU"/>
              </w:rPr>
              <w:t xml:space="preserve"> (крюк сцепки)</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28</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Спинка сиденья пассажира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Спинка сиденья пассажира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29</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Багажник</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Багажник</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Трансмиссия</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Вариатор, </w:t>
            </w:r>
            <w:proofErr w:type="gramStart"/>
            <w:r w:rsidRPr="001E7C1D">
              <w:rPr>
                <w:rFonts w:ascii="Times New Roman" w:eastAsia="Times New Roman" w:hAnsi="Times New Roman" w:cs="Times New Roman"/>
                <w:sz w:val="20"/>
                <w:szCs w:val="20"/>
                <w:lang w:eastAsia="ru-RU"/>
              </w:rPr>
              <w:t>пониженная</w:t>
            </w:r>
            <w:proofErr w:type="gramEnd"/>
            <w:r w:rsidRPr="001E7C1D">
              <w:rPr>
                <w:rFonts w:ascii="Times New Roman" w:eastAsia="Times New Roman" w:hAnsi="Times New Roman" w:cs="Times New Roman"/>
                <w:sz w:val="20"/>
                <w:szCs w:val="20"/>
                <w:lang w:eastAsia="ru-RU"/>
              </w:rPr>
              <w:t xml:space="preserve">, повышенная, реверс, </w:t>
            </w:r>
            <w:proofErr w:type="spellStart"/>
            <w:r w:rsidRPr="001E7C1D">
              <w:rPr>
                <w:rFonts w:ascii="Times New Roman" w:eastAsia="Times New Roman" w:hAnsi="Times New Roman" w:cs="Times New Roman"/>
                <w:sz w:val="20"/>
                <w:szCs w:val="20"/>
                <w:lang w:eastAsia="ru-RU"/>
              </w:rPr>
              <w:t>нейтраль</w:t>
            </w:r>
            <w:proofErr w:type="spellEnd"/>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Трансмиссия</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31</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Длина, </w:t>
            </w:r>
            <w:proofErr w:type="gramStart"/>
            <w:r w:rsidRPr="001E7C1D">
              <w:rPr>
                <w:rFonts w:ascii="Times New Roman" w:eastAsia="Times New Roman" w:hAnsi="Times New Roman" w:cs="Times New Roman"/>
                <w:sz w:val="20"/>
                <w:szCs w:val="20"/>
                <w:lang w:eastAsia="ru-RU"/>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более</w:t>
            </w:r>
            <w:r w:rsidRPr="001E7C1D">
              <w:rPr>
                <w:rFonts w:ascii="Times New Roman" w:eastAsia="Calibri" w:hAnsi="Times New Roman" w:cs="Times New Roman"/>
                <w:sz w:val="20"/>
                <w:szCs w:val="20"/>
              </w:rPr>
              <w:t xml:space="preserve"> 3 275</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Длина, </w:t>
            </w:r>
            <w:proofErr w:type="gramStart"/>
            <w:r w:rsidRPr="001E7C1D">
              <w:rPr>
                <w:rFonts w:ascii="Times New Roman" w:eastAsia="Times New Roman" w:hAnsi="Times New Roman" w:cs="Times New Roman"/>
                <w:sz w:val="20"/>
                <w:szCs w:val="20"/>
                <w:lang w:eastAsia="ru-RU"/>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32</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Ширина, </w:t>
            </w:r>
            <w:proofErr w:type="gramStart"/>
            <w:r w:rsidRPr="001E7C1D">
              <w:rPr>
                <w:rFonts w:ascii="Times New Roman" w:eastAsia="Times New Roman" w:hAnsi="Times New Roman" w:cs="Times New Roman"/>
                <w:sz w:val="20"/>
                <w:szCs w:val="20"/>
                <w:lang w:eastAsia="ru-RU"/>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более</w:t>
            </w:r>
            <w:r w:rsidRPr="001E7C1D">
              <w:rPr>
                <w:rFonts w:ascii="Times New Roman" w:eastAsia="Calibri" w:hAnsi="Times New Roman" w:cs="Times New Roman"/>
                <w:sz w:val="20"/>
                <w:szCs w:val="20"/>
              </w:rPr>
              <w:t xml:space="preserve"> 1 270</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Ширина, </w:t>
            </w:r>
            <w:proofErr w:type="gramStart"/>
            <w:r w:rsidRPr="001E7C1D">
              <w:rPr>
                <w:rFonts w:ascii="Times New Roman" w:eastAsia="Times New Roman" w:hAnsi="Times New Roman" w:cs="Times New Roman"/>
                <w:sz w:val="20"/>
                <w:szCs w:val="20"/>
                <w:lang w:eastAsia="ru-RU"/>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33</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Высота, </w:t>
            </w:r>
            <w:proofErr w:type="gramStart"/>
            <w:r w:rsidRPr="001E7C1D">
              <w:rPr>
                <w:rFonts w:ascii="Times New Roman" w:eastAsia="Times New Roman" w:hAnsi="Times New Roman" w:cs="Times New Roman"/>
                <w:sz w:val="20"/>
                <w:szCs w:val="20"/>
                <w:lang w:eastAsia="ru-RU"/>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более 1 440</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Высота, </w:t>
            </w:r>
            <w:proofErr w:type="gramStart"/>
            <w:r w:rsidRPr="001E7C1D">
              <w:rPr>
                <w:rFonts w:ascii="Times New Roman" w:eastAsia="Times New Roman" w:hAnsi="Times New Roman" w:cs="Times New Roman"/>
                <w:sz w:val="20"/>
                <w:szCs w:val="20"/>
                <w:lang w:eastAsia="ru-RU"/>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34</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Снаряженная </w:t>
            </w:r>
            <w:r w:rsidRPr="001E7C1D">
              <w:rPr>
                <w:rFonts w:ascii="Times New Roman" w:eastAsia="Times New Roman" w:hAnsi="Times New Roman" w:cs="Times New Roman"/>
                <w:sz w:val="20"/>
                <w:szCs w:val="20"/>
                <w:lang w:eastAsia="ru-RU"/>
              </w:rPr>
              <w:lastRenderedPageBreak/>
              <w:t xml:space="preserve">масса, </w:t>
            </w:r>
            <w:proofErr w:type="gramStart"/>
            <w:r w:rsidRPr="001E7C1D">
              <w:rPr>
                <w:rFonts w:ascii="Times New Roman" w:eastAsia="Times New Roman" w:hAnsi="Times New Roman" w:cs="Times New Roman"/>
                <w:sz w:val="20"/>
                <w:szCs w:val="20"/>
                <w:lang w:eastAsia="ru-RU"/>
              </w:rPr>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lastRenderedPageBreak/>
              <w:t>не более</w:t>
            </w:r>
            <w:r w:rsidRPr="001E7C1D">
              <w:rPr>
                <w:rFonts w:ascii="Times New Roman" w:eastAsia="Calibri" w:hAnsi="Times New Roman" w:cs="Times New Roman"/>
                <w:sz w:val="20"/>
                <w:szCs w:val="20"/>
              </w:rPr>
              <w:t xml:space="preserve"> 466</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Снаряженная </w:t>
            </w:r>
            <w:r w:rsidRPr="001E7C1D">
              <w:rPr>
                <w:rFonts w:ascii="Times New Roman" w:eastAsia="Times New Roman" w:hAnsi="Times New Roman" w:cs="Times New Roman"/>
                <w:sz w:val="20"/>
                <w:szCs w:val="20"/>
                <w:lang w:eastAsia="ru-RU"/>
              </w:rPr>
              <w:lastRenderedPageBreak/>
              <w:t xml:space="preserve">масса, </w:t>
            </w:r>
            <w:proofErr w:type="gramStart"/>
            <w:r w:rsidRPr="001E7C1D">
              <w:rPr>
                <w:rFonts w:ascii="Times New Roman" w:eastAsia="Times New Roman" w:hAnsi="Times New Roman" w:cs="Times New Roman"/>
                <w:sz w:val="20"/>
                <w:szCs w:val="20"/>
                <w:lang w:eastAsia="ru-RU"/>
              </w:rPr>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35</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Полная масса, </w:t>
            </w:r>
            <w:proofErr w:type="gramStart"/>
            <w:r w:rsidRPr="001E7C1D">
              <w:rPr>
                <w:rFonts w:ascii="Times New Roman" w:eastAsia="Times New Roman" w:hAnsi="Times New Roman" w:cs="Times New Roman"/>
                <w:sz w:val="20"/>
                <w:szCs w:val="20"/>
                <w:lang w:eastAsia="ru-RU"/>
              </w:rPr>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более</w:t>
            </w:r>
            <w:r w:rsidRPr="001E7C1D">
              <w:rPr>
                <w:rFonts w:ascii="Times New Roman" w:eastAsia="Calibri" w:hAnsi="Times New Roman" w:cs="Times New Roman"/>
                <w:sz w:val="20"/>
                <w:szCs w:val="20"/>
              </w:rPr>
              <w:t xml:space="preserve"> 586</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Полная масса, </w:t>
            </w:r>
            <w:proofErr w:type="gramStart"/>
            <w:r w:rsidRPr="001E7C1D">
              <w:rPr>
                <w:rFonts w:ascii="Times New Roman" w:eastAsia="Times New Roman" w:hAnsi="Times New Roman" w:cs="Times New Roman"/>
                <w:sz w:val="20"/>
                <w:szCs w:val="20"/>
                <w:lang w:eastAsia="ru-RU"/>
              </w:rPr>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36</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Масса буксируемого прицепа, </w:t>
            </w:r>
            <w:proofErr w:type="gramStart"/>
            <w:r w:rsidRPr="001E7C1D">
              <w:rPr>
                <w:rFonts w:ascii="Times New Roman" w:eastAsia="Times New Roman" w:hAnsi="Times New Roman" w:cs="Times New Roman"/>
                <w:sz w:val="20"/>
                <w:szCs w:val="20"/>
                <w:lang w:eastAsia="ru-RU"/>
              </w:rPr>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менее</w:t>
            </w:r>
            <w:r w:rsidRPr="001E7C1D">
              <w:rPr>
                <w:rFonts w:ascii="Times New Roman" w:eastAsia="Calibri" w:hAnsi="Times New Roman" w:cs="Times New Roman"/>
                <w:sz w:val="20"/>
                <w:szCs w:val="20"/>
              </w:rPr>
              <w:t xml:space="preserve"> 250</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Масса буксируемого прицепа, </w:t>
            </w:r>
            <w:proofErr w:type="gramStart"/>
            <w:r w:rsidRPr="001E7C1D">
              <w:rPr>
                <w:rFonts w:ascii="Times New Roman" w:eastAsia="Times New Roman" w:hAnsi="Times New Roman" w:cs="Times New Roman"/>
                <w:sz w:val="20"/>
                <w:szCs w:val="20"/>
                <w:lang w:eastAsia="ru-RU"/>
              </w:rPr>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37</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Колея лыж (между центрами), </w:t>
            </w:r>
            <w:proofErr w:type="gramStart"/>
            <w:r w:rsidRPr="001E7C1D">
              <w:rPr>
                <w:rFonts w:ascii="Times New Roman" w:eastAsia="Times New Roman" w:hAnsi="Times New Roman" w:cs="Times New Roman"/>
                <w:sz w:val="20"/>
                <w:szCs w:val="20"/>
                <w:lang w:eastAsia="ru-RU"/>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Не менее 1 100</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Колея лыж (между центрами), </w:t>
            </w:r>
            <w:proofErr w:type="gramStart"/>
            <w:r w:rsidRPr="001E7C1D">
              <w:rPr>
                <w:rFonts w:ascii="Times New Roman" w:eastAsia="Times New Roman" w:hAnsi="Times New Roman" w:cs="Times New Roman"/>
                <w:sz w:val="20"/>
                <w:szCs w:val="20"/>
                <w:lang w:eastAsia="ru-RU"/>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38</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Гусеница, Д×</w:t>
            </w:r>
            <w:proofErr w:type="gramStart"/>
            <w:r w:rsidRPr="001E7C1D">
              <w:rPr>
                <w:rFonts w:ascii="Times New Roman" w:eastAsia="Times New Roman" w:hAnsi="Times New Roman" w:cs="Times New Roman"/>
                <w:sz w:val="20"/>
                <w:szCs w:val="20"/>
                <w:lang w:eastAsia="ru-RU"/>
              </w:rPr>
              <w:t>Ш</w:t>
            </w:r>
            <w:proofErr w:type="gramEnd"/>
            <w:r w:rsidRPr="001E7C1D">
              <w:rPr>
                <w:rFonts w:ascii="Times New Roman" w:eastAsia="Times New Roman" w:hAnsi="Times New Roman" w:cs="Times New Roman"/>
                <w:sz w:val="20"/>
                <w:szCs w:val="20"/>
                <w:lang w:eastAsia="ru-RU"/>
              </w:rPr>
              <w:t>×В, мм</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Не менее 3 968 х 500 х 31</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Гусеница, Д×</w:t>
            </w:r>
            <w:proofErr w:type="gramStart"/>
            <w:r w:rsidRPr="001E7C1D">
              <w:rPr>
                <w:rFonts w:ascii="Times New Roman" w:eastAsia="Times New Roman" w:hAnsi="Times New Roman" w:cs="Times New Roman"/>
                <w:sz w:val="20"/>
                <w:szCs w:val="20"/>
                <w:lang w:eastAsia="ru-RU"/>
              </w:rPr>
              <w:t>Ш</w:t>
            </w:r>
            <w:proofErr w:type="gramEnd"/>
            <w:r w:rsidRPr="001E7C1D">
              <w:rPr>
                <w:rFonts w:ascii="Times New Roman" w:eastAsia="Times New Roman" w:hAnsi="Times New Roman" w:cs="Times New Roman"/>
                <w:sz w:val="20"/>
                <w:szCs w:val="20"/>
                <w:lang w:eastAsia="ru-RU"/>
              </w:rPr>
              <w:t>×В, мм</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39</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Тип передней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Рычажная</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Тип передней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40</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Ход передней подвески, </w:t>
            </w:r>
            <w:proofErr w:type="gramStart"/>
            <w:r w:rsidRPr="001E7C1D">
              <w:rPr>
                <w:rFonts w:ascii="Times New Roman" w:eastAsia="Times New Roman" w:hAnsi="Times New Roman" w:cs="Times New Roman"/>
                <w:sz w:val="20"/>
                <w:szCs w:val="20"/>
                <w:lang w:eastAsia="ru-RU"/>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менее 225</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Ход передней подвески, </w:t>
            </w:r>
            <w:proofErr w:type="gramStart"/>
            <w:r w:rsidRPr="001E7C1D">
              <w:rPr>
                <w:rFonts w:ascii="Times New Roman" w:eastAsia="Times New Roman" w:hAnsi="Times New Roman" w:cs="Times New Roman"/>
                <w:sz w:val="20"/>
                <w:szCs w:val="20"/>
                <w:lang w:eastAsia="ru-RU"/>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41</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Амортизатор передней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Гидропневматический однотрубный</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Амортизатор передней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42</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Тип задней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Скользящая рельсовая</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Тип задней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43</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Ход зад</w:t>
            </w:r>
            <w:proofErr w:type="gramStart"/>
            <w:r w:rsidRPr="001E7C1D">
              <w:rPr>
                <w:rFonts w:ascii="Times New Roman" w:eastAsia="Times New Roman" w:hAnsi="Times New Roman" w:cs="Times New Roman"/>
                <w:sz w:val="20"/>
                <w:szCs w:val="20"/>
                <w:lang w:eastAsia="ru-RU"/>
              </w:rPr>
              <w:t>.</w:t>
            </w:r>
            <w:proofErr w:type="gramEnd"/>
            <w:r w:rsidRPr="001E7C1D">
              <w:rPr>
                <w:rFonts w:ascii="Times New Roman" w:eastAsia="Times New Roman" w:hAnsi="Times New Roman" w:cs="Times New Roman"/>
                <w:sz w:val="20"/>
                <w:szCs w:val="20"/>
                <w:lang w:eastAsia="ru-RU"/>
              </w:rPr>
              <w:t xml:space="preserve"> </w:t>
            </w:r>
            <w:proofErr w:type="gramStart"/>
            <w:r w:rsidRPr="001E7C1D">
              <w:rPr>
                <w:rFonts w:ascii="Times New Roman" w:eastAsia="Times New Roman" w:hAnsi="Times New Roman" w:cs="Times New Roman"/>
                <w:sz w:val="20"/>
                <w:szCs w:val="20"/>
                <w:lang w:eastAsia="ru-RU"/>
              </w:rPr>
              <w:t>п</w:t>
            </w:r>
            <w:proofErr w:type="gramEnd"/>
            <w:r w:rsidRPr="001E7C1D">
              <w:rPr>
                <w:rFonts w:ascii="Times New Roman" w:eastAsia="Times New Roman" w:hAnsi="Times New Roman" w:cs="Times New Roman"/>
                <w:sz w:val="20"/>
                <w:szCs w:val="20"/>
                <w:lang w:eastAsia="ru-RU"/>
              </w:rPr>
              <w:t>одвески, мм</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менее 385</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Ход зад</w:t>
            </w:r>
            <w:proofErr w:type="gramStart"/>
            <w:r w:rsidRPr="001E7C1D">
              <w:rPr>
                <w:rFonts w:ascii="Times New Roman" w:eastAsia="Times New Roman" w:hAnsi="Times New Roman" w:cs="Times New Roman"/>
                <w:sz w:val="20"/>
                <w:szCs w:val="20"/>
                <w:lang w:eastAsia="ru-RU"/>
              </w:rPr>
              <w:t>.</w:t>
            </w:r>
            <w:proofErr w:type="gramEnd"/>
            <w:r w:rsidRPr="001E7C1D">
              <w:rPr>
                <w:rFonts w:ascii="Times New Roman" w:eastAsia="Times New Roman" w:hAnsi="Times New Roman" w:cs="Times New Roman"/>
                <w:sz w:val="20"/>
                <w:szCs w:val="20"/>
                <w:lang w:eastAsia="ru-RU"/>
              </w:rPr>
              <w:t xml:space="preserve"> </w:t>
            </w:r>
            <w:proofErr w:type="gramStart"/>
            <w:r w:rsidRPr="001E7C1D">
              <w:rPr>
                <w:rFonts w:ascii="Times New Roman" w:eastAsia="Times New Roman" w:hAnsi="Times New Roman" w:cs="Times New Roman"/>
                <w:sz w:val="20"/>
                <w:szCs w:val="20"/>
                <w:lang w:eastAsia="ru-RU"/>
              </w:rPr>
              <w:t>п</w:t>
            </w:r>
            <w:proofErr w:type="gramEnd"/>
            <w:r w:rsidRPr="001E7C1D">
              <w:rPr>
                <w:rFonts w:ascii="Times New Roman" w:eastAsia="Times New Roman" w:hAnsi="Times New Roman" w:cs="Times New Roman"/>
                <w:sz w:val="20"/>
                <w:szCs w:val="20"/>
                <w:lang w:eastAsia="ru-RU"/>
              </w:rPr>
              <w:t>одвески, мм</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44</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Передний амортизатор движителя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Гидропневматический двухтрубный</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Передний амортизатор движителя</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45</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Задний амортизатор движителя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Гидропневматический однотрубный</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Задний амортизатор движителя</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46</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Тормозной механизм</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Гидравлический, дисковый</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Тормозной механизм</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47</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Электростартер</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Наличие</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Электростартер</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48</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Зажигание</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Электронная система управления (Блок управления)</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Зажигание</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49</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Картер двигателя, </w:t>
            </w:r>
            <w:proofErr w:type="gramStart"/>
            <w:r w:rsidRPr="001E7C1D">
              <w:rPr>
                <w:rFonts w:ascii="Times New Roman" w:eastAsia="Times New Roman" w:hAnsi="Times New Roman" w:cs="Times New Roman"/>
                <w:sz w:val="20"/>
                <w:szCs w:val="20"/>
                <w:lang w:eastAsia="ru-RU"/>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Не менее 2,2</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Картер двигателя, </w:t>
            </w:r>
            <w:proofErr w:type="gramStart"/>
            <w:r w:rsidRPr="001E7C1D">
              <w:rPr>
                <w:rFonts w:ascii="Times New Roman" w:eastAsia="Times New Roman" w:hAnsi="Times New Roman" w:cs="Times New Roman"/>
                <w:sz w:val="20"/>
                <w:szCs w:val="20"/>
                <w:lang w:eastAsia="ru-RU"/>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50</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Топливный бак, </w:t>
            </w:r>
            <w:proofErr w:type="gramStart"/>
            <w:r w:rsidRPr="001E7C1D">
              <w:rPr>
                <w:rFonts w:ascii="Times New Roman" w:eastAsia="Times New Roman" w:hAnsi="Times New Roman" w:cs="Times New Roman"/>
                <w:sz w:val="20"/>
                <w:szCs w:val="20"/>
                <w:lang w:eastAsia="ru-RU"/>
              </w:rPr>
              <w:t>л</w:t>
            </w:r>
            <w:proofErr w:type="gramEnd"/>
            <w:r w:rsidRPr="001E7C1D">
              <w:rPr>
                <w:rFonts w:ascii="Times New Roman" w:eastAsia="Times New Roman" w:hAnsi="Times New Roman" w:cs="Times New Roman"/>
                <w:sz w:val="20"/>
                <w:szCs w:val="20"/>
                <w:lang w:eastAsia="ru-RU"/>
              </w:rPr>
              <w:t xml:space="preserve">, </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не менее</w:t>
            </w:r>
            <w:r w:rsidRPr="001E7C1D">
              <w:rPr>
                <w:rFonts w:ascii="Times New Roman" w:eastAsia="Calibri" w:hAnsi="Times New Roman" w:cs="Times New Roman"/>
                <w:sz w:val="20"/>
                <w:szCs w:val="20"/>
              </w:rPr>
              <w:t xml:space="preserve"> 40</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Топливный бак, </w:t>
            </w:r>
            <w:proofErr w:type="gramStart"/>
            <w:r w:rsidRPr="001E7C1D">
              <w:rPr>
                <w:rFonts w:ascii="Times New Roman" w:eastAsia="Times New Roman" w:hAnsi="Times New Roman" w:cs="Times New Roman"/>
                <w:sz w:val="20"/>
                <w:szCs w:val="20"/>
                <w:lang w:eastAsia="ru-RU"/>
              </w:rPr>
              <w:t>л</w:t>
            </w:r>
            <w:proofErr w:type="gramEnd"/>
            <w:r w:rsidRPr="001E7C1D">
              <w:rPr>
                <w:rFonts w:ascii="Times New Roman" w:eastAsia="Times New Roman" w:hAnsi="Times New Roman" w:cs="Times New Roman"/>
                <w:sz w:val="20"/>
                <w:szCs w:val="20"/>
                <w:lang w:eastAsia="ru-RU"/>
              </w:rPr>
              <w:t xml:space="preserve">, </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51</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Картер коробки передач, </w:t>
            </w:r>
            <w:proofErr w:type="gramStart"/>
            <w:r w:rsidRPr="001E7C1D">
              <w:rPr>
                <w:rFonts w:ascii="Times New Roman" w:eastAsia="Times New Roman" w:hAnsi="Times New Roman" w:cs="Times New Roman"/>
                <w:sz w:val="20"/>
                <w:szCs w:val="20"/>
                <w:lang w:eastAsia="ru-RU"/>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Не менее 0,5</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Картер коробки передач, </w:t>
            </w:r>
            <w:proofErr w:type="gramStart"/>
            <w:r w:rsidRPr="001E7C1D">
              <w:rPr>
                <w:rFonts w:ascii="Times New Roman" w:eastAsia="Times New Roman" w:hAnsi="Times New Roman" w:cs="Times New Roman"/>
                <w:sz w:val="20"/>
                <w:szCs w:val="20"/>
                <w:lang w:eastAsia="ru-RU"/>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52</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Система охлаждения, </w:t>
            </w:r>
            <w:proofErr w:type="gramStart"/>
            <w:r w:rsidRPr="001E7C1D">
              <w:rPr>
                <w:rFonts w:ascii="Times New Roman" w:eastAsia="Times New Roman" w:hAnsi="Times New Roman" w:cs="Times New Roman"/>
                <w:sz w:val="20"/>
                <w:szCs w:val="20"/>
                <w:lang w:eastAsia="ru-RU"/>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t>Не менее 6,5</w:t>
            </w:r>
          </w:p>
        </w:tc>
        <w:tc>
          <w:tcPr>
            <w:tcW w:w="223"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Система охлаждения, </w:t>
            </w:r>
            <w:proofErr w:type="gramStart"/>
            <w:r w:rsidRPr="001E7C1D">
              <w:rPr>
                <w:rFonts w:ascii="Times New Roman" w:eastAsia="Times New Roman" w:hAnsi="Times New Roman" w:cs="Times New Roman"/>
                <w:sz w:val="20"/>
                <w:szCs w:val="20"/>
                <w:lang w:eastAsia="ru-RU"/>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227"/>
        </w:trPr>
        <w:tc>
          <w:tcPr>
            <w:tcW w:w="130" w:type="pct"/>
            <w:vMerge/>
            <w:tcBorders>
              <w:left w:val="single" w:sz="4" w:space="0" w:color="auto"/>
              <w:bottom w:val="single" w:sz="4" w:space="0" w:color="auto"/>
              <w:right w:val="single" w:sz="4" w:space="0" w:color="auto"/>
            </w:tcBorders>
            <w:shd w:val="clear" w:color="auto" w:fill="auto"/>
            <w:noWrap/>
            <w:vAlign w:val="center"/>
          </w:tcPr>
          <w:p w:rsidR="001E7C1D" w:rsidRPr="001E7C1D" w:rsidRDefault="001E7C1D" w:rsidP="001E7C1D">
            <w:pPr>
              <w:numPr>
                <w:ilvl w:val="0"/>
                <w:numId w:val="21"/>
              </w:numPr>
              <w:spacing w:after="0" w:line="240" w:lineRule="auto"/>
              <w:ind w:left="417"/>
              <w:contextualSpacing/>
              <w:rPr>
                <w:rFonts w:ascii="Times New Roman" w:eastAsia="Times New Roman" w:hAnsi="Times New Roman" w:cs="Times New Roman"/>
                <w:sz w:val="20"/>
                <w:szCs w:val="20"/>
              </w:rPr>
            </w:pPr>
          </w:p>
        </w:tc>
        <w:tc>
          <w:tcPr>
            <w:tcW w:w="173" w:type="pct"/>
            <w:tcBorders>
              <w:top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Проблесковый маячок оранжевого цвета, установленный на штоке в задней части снегохода </w:t>
            </w:r>
            <w:r w:rsidRPr="001E7C1D">
              <w:rPr>
                <w:rFonts w:ascii="Times New Roman" w:eastAsia="Times New Roman" w:hAnsi="Times New Roman" w:cs="Times New Roman"/>
                <w:sz w:val="20"/>
                <w:szCs w:val="20"/>
                <w:lang w:eastAsia="ru-RU"/>
              </w:rPr>
              <w:lastRenderedPageBreak/>
              <w:t>(на каждую единицу Товара)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Calibri" w:hAnsi="Times New Roman" w:cs="Times New Roman"/>
                <w:sz w:val="20"/>
                <w:szCs w:val="20"/>
              </w:rPr>
              <w:lastRenderedPageBreak/>
              <w:t>Наличие</w:t>
            </w:r>
          </w:p>
        </w:tc>
        <w:tc>
          <w:tcPr>
            <w:tcW w:w="223" w:type="pct"/>
            <w:vMerge/>
            <w:tcBorders>
              <w:left w:val="single" w:sz="6" w:space="0" w:color="auto"/>
              <w:bottom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24" w:type="pct"/>
            <w:vMerge/>
            <w:tcBorders>
              <w:left w:val="single" w:sz="6" w:space="0" w:color="auto"/>
              <w:bottom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58" w:type="pct"/>
            <w:vMerge/>
            <w:tcBorders>
              <w:left w:val="single" w:sz="6" w:space="0" w:color="auto"/>
              <w:bottom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402" w:type="pct"/>
            <w:vMerge/>
            <w:tcBorders>
              <w:left w:val="single" w:sz="6" w:space="0" w:color="auto"/>
              <w:bottom w:val="single" w:sz="6" w:space="0" w:color="auto"/>
              <w:right w:val="single" w:sz="6" w:space="0" w:color="auto"/>
            </w:tcBorders>
            <w:shd w:val="clear" w:color="auto" w:fill="auto"/>
            <w:vAlign w:val="center"/>
          </w:tcPr>
          <w:p w:rsidR="001E7C1D" w:rsidRPr="001E7C1D" w:rsidRDefault="001E7C1D" w:rsidP="001E7C1D">
            <w:pPr>
              <w:spacing w:after="0" w:line="240" w:lineRule="auto"/>
              <w:jc w:val="center"/>
              <w:rPr>
                <w:rFonts w:ascii="Times New Roman" w:eastAsia="Times New Roman" w:hAnsi="Times New Roman" w:cs="Times New Roman"/>
                <w:color w:val="000000"/>
                <w:sz w:val="20"/>
                <w:szCs w:val="20"/>
                <w:lang w:eastAsia="ru-RU"/>
              </w:rPr>
            </w:pPr>
          </w:p>
        </w:tc>
        <w:tc>
          <w:tcPr>
            <w:tcW w:w="627" w:type="pct"/>
            <w:tcBorders>
              <w:top w:val="single" w:sz="4" w:space="0" w:color="auto"/>
              <w:left w:val="single" w:sz="6" w:space="0" w:color="auto"/>
              <w:bottom w:val="single" w:sz="6" w:space="0" w:color="auto"/>
              <w:right w:val="single" w:sz="4" w:space="0" w:color="auto"/>
            </w:tcBorders>
          </w:tcPr>
          <w:p w:rsidR="001E7C1D" w:rsidRPr="001E7C1D" w:rsidRDefault="001E7C1D" w:rsidP="001E7C1D">
            <w:pPr>
              <w:spacing w:after="0" w:line="240" w:lineRule="auto"/>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 xml:space="preserve">Проблесковый маячок оранжевого цвета, установленный на штоке в задней части снегохода </w:t>
            </w:r>
            <w:r w:rsidRPr="001E7C1D">
              <w:rPr>
                <w:rFonts w:ascii="Times New Roman" w:eastAsia="Times New Roman" w:hAnsi="Times New Roman" w:cs="Times New Roman"/>
                <w:sz w:val="20"/>
                <w:szCs w:val="20"/>
                <w:lang w:eastAsia="ru-RU"/>
              </w:rPr>
              <w:lastRenderedPageBreak/>
              <w:t>(на каждую единицу Товара)</w:t>
            </w:r>
          </w:p>
        </w:tc>
        <w:tc>
          <w:tcPr>
            <w:tcW w:w="505" w:type="pct"/>
            <w:tcBorders>
              <w:top w:val="single" w:sz="4" w:space="0" w:color="auto"/>
              <w:left w:val="single" w:sz="4" w:space="0" w:color="auto"/>
              <w:bottom w:val="single" w:sz="6" w:space="0" w:color="auto"/>
              <w:right w:val="single" w:sz="6" w:space="0" w:color="auto"/>
            </w:tcBorders>
            <w:vAlign w:val="center"/>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09" w:type="pct"/>
            <w:vMerge/>
            <w:tcBorders>
              <w:left w:val="single" w:sz="6" w:space="0" w:color="auto"/>
              <w:bottom w:val="single" w:sz="6" w:space="0" w:color="auto"/>
              <w:right w:val="single" w:sz="6"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271" w:type="pct"/>
            <w:vMerge/>
            <w:tcBorders>
              <w:left w:val="single" w:sz="6" w:space="0" w:color="auto"/>
              <w:bottom w:val="single" w:sz="6"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vMerge/>
            <w:tcBorders>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r>
      <w:tr w:rsidR="001E7C1D" w:rsidRPr="001E7C1D" w:rsidTr="00922E0D">
        <w:trPr>
          <w:trHeight w:val="328"/>
        </w:trPr>
        <w:tc>
          <w:tcPr>
            <w:tcW w:w="2495" w:type="pct"/>
            <w:gridSpan w:val="7"/>
            <w:tcBorders>
              <w:top w:val="single" w:sz="4" w:space="0" w:color="auto"/>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jc w:val="right"/>
              <w:rPr>
                <w:rFonts w:ascii="Times New Roman" w:eastAsia="Times New Roman" w:hAnsi="Times New Roman" w:cs="Times New Roman"/>
                <w:sz w:val="20"/>
                <w:szCs w:val="20"/>
                <w:lang w:eastAsia="ru-RU"/>
              </w:rPr>
            </w:pPr>
            <w:r w:rsidRPr="001E7C1D">
              <w:rPr>
                <w:rFonts w:ascii="Times New Roman" w:eastAsia="Times New Roman" w:hAnsi="Times New Roman" w:cs="Times New Roman"/>
                <w:b/>
                <w:sz w:val="20"/>
                <w:szCs w:val="20"/>
                <w:lang w:eastAsia="ru-RU"/>
              </w:rPr>
              <w:lastRenderedPageBreak/>
              <w:t>Итого</w:t>
            </w:r>
          </w:p>
        </w:tc>
        <w:tc>
          <w:tcPr>
            <w:tcW w:w="402" w:type="pct"/>
            <w:tcBorders>
              <w:top w:val="single" w:sz="4" w:space="0" w:color="auto"/>
              <w:left w:val="single" w:sz="4" w:space="0" w:color="auto"/>
              <w:bottom w:val="single" w:sz="4" w:space="0" w:color="auto"/>
              <w:right w:val="single" w:sz="4" w:space="0" w:color="auto"/>
            </w:tcBorders>
            <w:vAlign w:val="center"/>
          </w:tcPr>
          <w:p w:rsidR="001E7C1D" w:rsidRPr="001E7C1D" w:rsidRDefault="001E7C1D" w:rsidP="001E7C1D">
            <w:pPr>
              <w:spacing w:after="0" w:line="240" w:lineRule="auto"/>
              <w:ind w:left="-111" w:right="-105"/>
              <w:jc w:val="center"/>
              <w:rPr>
                <w:rFonts w:ascii="Times New Roman" w:eastAsia="Times New Roman" w:hAnsi="Times New Roman" w:cs="Times New Roman"/>
                <w:b/>
                <w:sz w:val="20"/>
                <w:szCs w:val="20"/>
                <w:lang w:eastAsia="ru-RU"/>
              </w:rPr>
            </w:pPr>
            <w:r w:rsidRPr="001E7C1D">
              <w:rPr>
                <w:rFonts w:ascii="Times New Roman" w:eastAsia="Times New Roman" w:hAnsi="Times New Roman" w:cs="Times New Roman"/>
                <w:b/>
                <w:sz w:val="20"/>
                <w:szCs w:val="20"/>
                <w:lang w:eastAsia="ru-RU"/>
              </w:rPr>
              <w:t>2 583 333,34</w:t>
            </w:r>
          </w:p>
        </w:tc>
        <w:tc>
          <w:tcPr>
            <w:tcW w:w="1441" w:type="pct"/>
            <w:gridSpan w:val="3"/>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w:t>
            </w:r>
          </w:p>
        </w:tc>
        <w:tc>
          <w:tcPr>
            <w:tcW w:w="271"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1E7C1D" w:rsidRPr="001E7C1D" w:rsidRDefault="001E7C1D" w:rsidP="001E7C1D">
            <w:pPr>
              <w:spacing w:after="0" w:line="240" w:lineRule="auto"/>
              <w:jc w:val="center"/>
              <w:rPr>
                <w:rFonts w:ascii="Times New Roman" w:eastAsia="Times New Roman" w:hAnsi="Times New Roman" w:cs="Times New Roman"/>
                <w:sz w:val="20"/>
                <w:szCs w:val="20"/>
                <w:lang w:eastAsia="ru-RU"/>
              </w:rPr>
            </w:pPr>
            <w:r w:rsidRPr="001E7C1D">
              <w:rPr>
                <w:rFonts w:ascii="Times New Roman" w:eastAsia="Times New Roman" w:hAnsi="Times New Roman" w:cs="Times New Roman"/>
                <w:sz w:val="20"/>
                <w:szCs w:val="20"/>
                <w:lang w:eastAsia="ru-RU"/>
              </w:rPr>
              <w:t>---</w:t>
            </w:r>
          </w:p>
        </w:tc>
      </w:tr>
    </w:tbl>
    <w:p w:rsidR="00557192" w:rsidRPr="00557192" w:rsidRDefault="00557192" w:rsidP="00A060ED">
      <w:pPr>
        <w:pStyle w:val="Default"/>
        <w:spacing w:before="360"/>
        <w:ind w:left="2127"/>
        <w:jc w:val="both"/>
        <w:rPr>
          <w:b/>
        </w:rPr>
      </w:pPr>
      <w:r w:rsidRPr="00557192">
        <w:rPr>
          <w:b/>
        </w:rPr>
        <w:t xml:space="preserve">Директор </w:t>
      </w:r>
      <w:bookmarkStart w:id="0" w:name="_GoBack"/>
      <w:bookmarkEnd w:id="0"/>
      <w:r w:rsidRPr="00557192">
        <w:rPr>
          <w:b/>
        </w:rPr>
        <w:t xml:space="preserve">Департамента </w:t>
      </w:r>
    </w:p>
    <w:p w:rsidR="00700836" w:rsidRDefault="00557192" w:rsidP="00A060ED">
      <w:pPr>
        <w:pStyle w:val="Default"/>
        <w:ind w:left="2127"/>
        <w:jc w:val="both"/>
      </w:pPr>
      <w:r w:rsidRPr="00557192">
        <w:rPr>
          <w:b/>
        </w:rPr>
        <w:t>финансов и закупочной деятельности</w:t>
      </w:r>
      <w:r w:rsidRPr="00557192">
        <w:rPr>
          <w:b/>
        </w:rPr>
        <w:tab/>
        <w:t xml:space="preserve"> </w:t>
      </w:r>
      <w:r w:rsidR="00A060ED">
        <w:rPr>
          <w:b/>
        </w:rPr>
        <w:tab/>
      </w:r>
      <w:r w:rsidR="00A060ED">
        <w:rPr>
          <w:b/>
        </w:rPr>
        <w:tab/>
      </w:r>
      <w:r w:rsidRPr="00557192">
        <w:t>_______________</w:t>
      </w:r>
      <w:r w:rsidRPr="00557192">
        <w:rPr>
          <w:b/>
        </w:rPr>
        <w:t xml:space="preserve"> /Токарев Игорь Александрович/</w:t>
      </w:r>
    </w:p>
    <w:sectPr w:rsidR="00700836" w:rsidSect="002C5A96">
      <w:headerReference w:type="default" r:id="rId9"/>
      <w:pgSz w:w="16838" w:h="11906" w:orient="landscape"/>
      <w:pgMar w:top="567" w:right="1134" w:bottom="567" w:left="1134"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456B7A">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2"/>
  </w:num>
  <w:num w:numId="5">
    <w:abstractNumId w:val="5"/>
  </w:num>
  <w:num w:numId="6">
    <w:abstractNumId w:val="7"/>
  </w:num>
  <w:num w:numId="7">
    <w:abstractNumId w:val="12"/>
  </w:num>
  <w:num w:numId="8">
    <w:abstractNumId w:val="3"/>
  </w:num>
  <w:num w:numId="9">
    <w:abstractNumId w:val="18"/>
  </w:num>
  <w:num w:numId="10">
    <w:abstractNumId w:val="19"/>
  </w:num>
  <w:num w:numId="11">
    <w:abstractNumId w:val="1"/>
  </w:num>
  <w:num w:numId="12">
    <w:abstractNumId w:val="4"/>
  </w:num>
  <w:num w:numId="13">
    <w:abstractNumId w:val="8"/>
  </w:num>
  <w:num w:numId="14">
    <w:abstractNumId w:val="20"/>
  </w:num>
  <w:num w:numId="15">
    <w:abstractNumId w:val="15"/>
  </w:num>
  <w:num w:numId="16">
    <w:abstractNumId w:val="16"/>
  </w:num>
  <w:num w:numId="17">
    <w:abstractNumId w:val="14"/>
  </w:num>
  <w:num w:numId="18">
    <w:abstractNumId w:val="10"/>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620C5"/>
    <w:rsid w:val="00170802"/>
    <w:rsid w:val="001830F1"/>
    <w:rsid w:val="001950A5"/>
    <w:rsid w:val="001A6DEF"/>
    <w:rsid w:val="001D2802"/>
    <w:rsid w:val="001E17BF"/>
    <w:rsid w:val="001E7C1D"/>
    <w:rsid w:val="00200217"/>
    <w:rsid w:val="0024765F"/>
    <w:rsid w:val="0026110C"/>
    <w:rsid w:val="00262073"/>
    <w:rsid w:val="00282851"/>
    <w:rsid w:val="002918A8"/>
    <w:rsid w:val="002B18A5"/>
    <w:rsid w:val="002C5A96"/>
    <w:rsid w:val="003207B3"/>
    <w:rsid w:val="003306D1"/>
    <w:rsid w:val="00383A94"/>
    <w:rsid w:val="003A07E8"/>
    <w:rsid w:val="003C6461"/>
    <w:rsid w:val="003D2E6E"/>
    <w:rsid w:val="00402F21"/>
    <w:rsid w:val="00432534"/>
    <w:rsid w:val="00451CE5"/>
    <w:rsid w:val="00456B7A"/>
    <w:rsid w:val="004616F8"/>
    <w:rsid w:val="00476B50"/>
    <w:rsid w:val="00483671"/>
    <w:rsid w:val="004A794A"/>
    <w:rsid w:val="004B66A4"/>
    <w:rsid w:val="004D09E4"/>
    <w:rsid w:val="004D69B9"/>
    <w:rsid w:val="004D7BE5"/>
    <w:rsid w:val="004E5BAE"/>
    <w:rsid w:val="00503554"/>
    <w:rsid w:val="00557192"/>
    <w:rsid w:val="005610B0"/>
    <w:rsid w:val="005A09EB"/>
    <w:rsid w:val="005B6733"/>
    <w:rsid w:val="00606B89"/>
    <w:rsid w:val="00614FE6"/>
    <w:rsid w:val="00624B82"/>
    <w:rsid w:val="00630186"/>
    <w:rsid w:val="006406D6"/>
    <w:rsid w:val="00670CCF"/>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95290"/>
    <w:rsid w:val="009E56DD"/>
    <w:rsid w:val="009E62CC"/>
    <w:rsid w:val="00A04D0E"/>
    <w:rsid w:val="00A060ED"/>
    <w:rsid w:val="00AE26B5"/>
    <w:rsid w:val="00B60AE6"/>
    <w:rsid w:val="00BB1477"/>
    <w:rsid w:val="00BB655A"/>
    <w:rsid w:val="00BC0A82"/>
    <w:rsid w:val="00BE2986"/>
    <w:rsid w:val="00C01DA1"/>
    <w:rsid w:val="00C0529D"/>
    <w:rsid w:val="00C07C0D"/>
    <w:rsid w:val="00C349E2"/>
    <w:rsid w:val="00C511D6"/>
    <w:rsid w:val="00C63A82"/>
    <w:rsid w:val="00C84DE3"/>
    <w:rsid w:val="00CA6FFE"/>
    <w:rsid w:val="00CD318E"/>
    <w:rsid w:val="00D00972"/>
    <w:rsid w:val="00D32C43"/>
    <w:rsid w:val="00D66178"/>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CC8A-F663-42DE-8A38-1A681EB4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2024-05-22T13:44:00Z</dcterms:created>
  <dcterms:modified xsi:type="dcterms:W3CDTF">2024-05-22T13:44:00Z</dcterms:modified>
</cp:coreProperties>
</file>