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4D5AD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D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4D5AD5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4D5AD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4D5AD5" w:rsidRPr="004D5AD5">
        <w:rPr>
          <w:rFonts w:ascii="Times New Roman" w:hAnsi="Times New Roman" w:cs="Times New Roman"/>
          <w:b/>
          <w:sz w:val="24"/>
          <w:szCs w:val="24"/>
        </w:rPr>
        <w:t>1</w:t>
      </w:r>
      <w:r w:rsidR="00BF667B" w:rsidRPr="004D5AD5">
        <w:rPr>
          <w:rFonts w:ascii="Times New Roman" w:hAnsi="Times New Roman" w:cs="Times New Roman"/>
          <w:b/>
          <w:sz w:val="24"/>
          <w:szCs w:val="24"/>
        </w:rPr>
        <w:t>7</w:t>
      </w:r>
      <w:r w:rsidR="003B0D31" w:rsidRPr="004D5AD5">
        <w:rPr>
          <w:rFonts w:ascii="Times New Roman" w:hAnsi="Times New Roman" w:cs="Times New Roman"/>
          <w:b/>
          <w:sz w:val="24"/>
          <w:szCs w:val="24"/>
        </w:rPr>
        <w:t>.</w:t>
      </w:r>
      <w:r w:rsidR="00A32F55" w:rsidRPr="004D5AD5">
        <w:rPr>
          <w:rFonts w:ascii="Times New Roman" w:hAnsi="Times New Roman" w:cs="Times New Roman"/>
          <w:b/>
          <w:sz w:val="24"/>
          <w:szCs w:val="24"/>
        </w:rPr>
        <w:t>10</w:t>
      </w:r>
      <w:r w:rsidR="00240BC4" w:rsidRPr="004D5AD5">
        <w:rPr>
          <w:rFonts w:ascii="Times New Roman" w:hAnsi="Times New Roman" w:cs="Times New Roman"/>
          <w:b/>
          <w:sz w:val="24"/>
          <w:szCs w:val="24"/>
        </w:rPr>
        <w:t>.2022</w:t>
      </w:r>
      <w:r w:rsidRPr="004D5AD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4D5AD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D5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4D5AD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4D5AD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D5AD5" w:rsidRPr="004D5AD5">
        <w:rPr>
          <w:rFonts w:ascii="Times New Roman" w:hAnsi="Times New Roman" w:cs="Times New Roman"/>
          <w:b/>
          <w:bCs/>
          <w:sz w:val="24"/>
          <w:szCs w:val="24"/>
        </w:rPr>
        <w:t>14.10.2022 г. № ЗКЭФ-ДЭ-658</w:t>
      </w:r>
      <w:r w:rsidRPr="004D5AD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4D5AD5" w:rsidTr="00614A8F">
        <w:tc>
          <w:tcPr>
            <w:tcW w:w="540" w:type="dxa"/>
            <w:shd w:val="clear" w:color="auto" w:fill="auto"/>
            <w:vAlign w:val="center"/>
          </w:tcPr>
          <w:p w:rsidR="00FA046A" w:rsidRPr="004D5AD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4D5AD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4D5AD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4D5AD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4D5AD5" w:rsidRPr="004D5AD5" w:rsidRDefault="004D5AD5" w:rsidP="004D5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уточнить следующую информацию:</w:t>
            </w:r>
          </w:p>
          <w:p w:rsidR="004D5AD5" w:rsidRPr="004D5AD5" w:rsidRDefault="004D5AD5" w:rsidP="004D5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Статистику убытков за последние 5 лет, с указанием: территории страхования, даты события, что пострадало, размера ущерба, причины наступления события, наличия третьих лиц ответственных за убытки.</w:t>
            </w:r>
          </w:p>
          <w:p w:rsidR="004D5AD5" w:rsidRPr="004D5AD5" w:rsidRDefault="004D5AD5" w:rsidP="004D5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Описание зданий: год постройки/последнего кап. ремонта, материал конструктива и перекрытий, общую площадь здания, занимаемую площадь в здании, наличие горючего утеплителя.</w:t>
            </w:r>
          </w:p>
          <w:p w:rsidR="004D5AD5" w:rsidRPr="004D5AD5" w:rsidRDefault="004D5AD5" w:rsidP="004D5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Наличие в каждом здании огнетушителей, работоспособной автоматической пожарной сигнализации, автоматической системы пожаротушения, охранной сигнализации, физической охраны, видеонаблюдения и иных мер </w:t>
            </w:r>
            <w:proofErr w:type="spellStart"/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рискозащищенности</w:t>
            </w:r>
            <w:proofErr w:type="spellEnd"/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4D5AD5" w:rsidRPr="004D5AD5" w:rsidRDefault="004D5AD5" w:rsidP="004D5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Сейсмоустойчивость</w:t>
            </w:r>
            <w:proofErr w:type="spellEnd"/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зданий.</w:t>
            </w:r>
          </w:p>
          <w:p w:rsidR="004D5AD5" w:rsidRPr="004D5AD5" w:rsidRDefault="004D5AD5" w:rsidP="004D5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Какие системы отопления (газовое, электрическое, дровяное).</w:t>
            </w:r>
          </w:p>
          <w:p w:rsidR="00D57226" w:rsidRPr="004D5AD5" w:rsidRDefault="004D5AD5" w:rsidP="004D5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Мероприятия по защите от схода лавин/селей, оползней.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4D5AD5" w:rsidP="004D5A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Запрашиваемая информация указана в приложении № 1 к разъяснению</w:t>
            </w:r>
            <w:r w:rsidRPr="004D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документации о закупке от 17.10.2022 г. № 1</w:t>
            </w:r>
          </w:p>
        </w:tc>
      </w:tr>
    </w:tbl>
    <w:p w:rsidR="004D5AD5" w:rsidRDefault="004D5AD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D5" w:rsidRDefault="004D5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AD5" w:rsidRDefault="004D5AD5" w:rsidP="004D5A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4D5AD5" w:rsidSect="00914D78">
          <w:pgSz w:w="11906" w:h="16838" w:code="9"/>
          <w:pgMar w:top="993" w:right="566" w:bottom="426" w:left="1134" w:header="340" w:footer="0" w:gutter="0"/>
          <w:cols w:space="708"/>
          <w:docGrid w:linePitch="360"/>
        </w:sectPr>
      </w:pPr>
    </w:p>
    <w:p w:rsidR="004D5AD5" w:rsidRPr="004D5AD5" w:rsidRDefault="004D5AD5" w:rsidP="004D5A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A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4D5AD5" w:rsidRDefault="004D5AD5" w:rsidP="004D5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AD5">
        <w:rPr>
          <w:rFonts w:ascii="Times New Roman" w:hAnsi="Times New Roman" w:cs="Times New Roman"/>
          <w:sz w:val="24"/>
          <w:szCs w:val="24"/>
        </w:rPr>
        <w:t xml:space="preserve"> к разъяснению положений документации</w:t>
      </w:r>
    </w:p>
    <w:p w:rsidR="004D5AD5" w:rsidRDefault="004D5AD5" w:rsidP="004D5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AD5">
        <w:rPr>
          <w:rFonts w:ascii="Times New Roman" w:hAnsi="Times New Roman" w:cs="Times New Roman"/>
          <w:sz w:val="24"/>
          <w:szCs w:val="24"/>
        </w:rPr>
        <w:t xml:space="preserve"> о закупке от 17.10.2022 г. № 1</w:t>
      </w:r>
    </w:p>
    <w:p w:rsidR="004D5AD5" w:rsidRDefault="004D5AD5" w:rsidP="004D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38"/>
        <w:gridCol w:w="11199"/>
      </w:tblGrid>
      <w:tr w:rsidR="004D5AD5" w:rsidRPr="004D5AD5" w:rsidTr="004D5AD5">
        <w:tc>
          <w:tcPr>
            <w:tcW w:w="56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Разъяснения</w:t>
            </w:r>
          </w:p>
        </w:tc>
      </w:tr>
      <w:tr w:rsidR="004D5AD5" w:rsidRPr="004D5AD5" w:rsidTr="004D5AD5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>Статистику убытков за последние 5 лет, с указанием: территории страхования, даты события, что пострадало, размера ущерба, причины наступления события, наличия третьих лиц ответственных за убытки.</w:t>
            </w:r>
          </w:p>
        </w:tc>
        <w:tc>
          <w:tcPr>
            <w:tcW w:w="11199" w:type="dxa"/>
            <w:shd w:val="clear" w:color="auto" w:fill="auto"/>
          </w:tcPr>
          <w:tbl>
            <w:tblPr>
              <w:tblW w:w="10967" w:type="dxa"/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2664"/>
              <w:gridCol w:w="1843"/>
              <w:gridCol w:w="3289"/>
              <w:gridCol w:w="1860"/>
            </w:tblGrid>
            <w:tr w:rsidR="004D5AD5" w:rsidRPr="004D5AD5" w:rsidTr="004D5AD5">
              <w:trPr>
                <w:trHeight w:val="1200"/>
              </w:trPr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события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Пострадавшее имущество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Размер ущерба (руб.)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Причина наступления события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Наличие третьих лиц ответственных за убытки.</w:t>
                  </w:r>
                </w:p>
              </w:tc>
            </w:tr>
            <w:tr w:rsidR="004D5AD5" w:rsidRPr="004D5AD5" w:rsidTr="004D5AD5">
              <w:trPr>
                <w:trHeight w:val="1500"/>
              </w:trPr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24.08.2016 по 27.08.2016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Лыжная трасса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."Мир"-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ст."Старый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Кругозор"; Лыжная трасса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ст."Старый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Кругозор"-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Азау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(ЕНК)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1 105 808,53 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Стихийное бедствие (сель)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4D5AD5" w:rsidRPr="004D5AD5" w:rsidTr="004D5AD5">
              <w:trPr>
                <w:trHeight w:val="1575"/>
              </w:trPr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23.08.2017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Лыжная трасса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."Мир"-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ст."Старый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Кругозор", Лыжная трасса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ст."Старый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Кругозор"-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."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Азау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(ЕНК)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2 732 838,88   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Стихийное бедствие (сель)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4D5AD5" w:rsidRPr="004D5AD5" w:rsidTr="004D5AD5">
              <w:trPr>
                <w:trHeight w:val="1500"/>
              </w:trPr>
              <w:tc>
                <w:tcPr>
                  <w:tcW w:w="13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07.06.2020г. в 15:00ч.</w:t>
                  </w:r>
                </w:p>
              </w:tc>
              <w:tc>
                <w:tcPr>
                  <w:tcW w:w="26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Пассажирская канатная дорога гондольного типа 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ст."Старый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Кругозор"-ст."Мир"-2очередь (ЕНК)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673 425,49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результате попадания разряда молнии в металлоконструкцию нижней приводной станции на пл. «Старый Кругозор» повреждено следующее оборудование нижней приводной станции на пл. «Старый Кругозор»: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4D5AD5" w:rsidRPr="004D5AD5" w:rsidTr="004D5AD5">
              <w:trPr>
                <w:trHeight w:val="300"/>
              </w:trPr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Плата обратной связи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Siemens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YSU/VD 155372109;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AD5" w:rsidRPr="004D5AD5" w:rsidTr="004D5AD5">
              <w:trPr>
                <w:trHeight w:val="300"/>
              </w:trPr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Тиристорный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модуль MCC44-18 I08B;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AD5" w:rsidRPr="004D5AD5" w:rsidTr="004D5AD5">
              <w:trPr>
                <w:trHeight w:val="300"/>
              </w:trPr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Диодный модуль MDD44-16N1B.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AD5" w:rsidRPr="004D5AD5" w:rsidTr="004D5AD5">
              <w:trPr>
                <w:trHeight w:val="300"/>
              </w:trPr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Датчик скорости (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энкодер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TRelectronic</w:t>
                  </w:r>
                  <w:proofErr w:type="spellEnd"/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D-78647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AD5" w:rsidRPr="004D5AD5" w:rsidTr="004D5AD5">
              <w:trPr>
                <w:trHeight w:val="300"/>
              </w:trPr>
              <w:tc>
                <w:tcPr>
                  <w:tcW w:w="13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Силоизмерительный стержень SPT 1577/A.</w:t>
                  </w: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AD5" w:rsidRPr="004D5AD5" w:rsidTr="004D5AD5">
              <w:trPr>
                <w:trHeight w:val="2700"/>
              </w:trPr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10.01.2022 в 01:30 ч.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Административное двухэтажное здание (ЕНК)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10 277 986,64 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Пожар по причине короткого замыкания электропроводки в гараже гондол.</w:t>
                  </w: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 результате пожара на втором этаже административного здания ВТРК «Эльбрус», где расположен склад имущества, повреждены температурным воздействием от пожара, а также залиты водой при тушении пожара материальные товарно-материальные ценности, находящиеся на складе.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5AD5" w:rsidRPr="004D5AD5" w:rsidRDefault="004D5AD5" w:rsidP="00143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AD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</w:tbl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D5AD5" w:rsidRPr="004D5AD5" w:rsidTr="004D5AD5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</w:t>
            </w:r>
          </w:p>
        </w:tc>
        <w:tc>
          <w:tcPr>
            <w:tcW w:w="4138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>Описание зданий: год постройки/последнего кап. ремонта, материал конструктива и перекрытий, общую площадь здания, занимаемую площадь в здании, наличие горючего утеплителя.</w:t>
            </w:r>
          </w:p>
        </w:tc>
        <w:tc>
          <w:tcPr>
            <w:tcW w:w="11199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 xml:space="preserve">Административный корпус ВТРК «Эльбрус» построен в 2007 году, реконструирован в 2015 году. Общая площадь здания- 1200 кв. м. Состоит из 2-х этажей: на 1-м располагаются административные, офисные, торговые помещения; на 2-м-гараж гондол (кабин канатной дороги). Конструктивные решения: 1-й этаж-металлические колонны на железобетонных фундаментах; ограждающие и внутренние стены- из </w:t>
            </w:r>
            <w:proofErr w:type="spellStart"/>
            <w:r w:rsidRPr="004D5AD5">
              <w:rPr>
                <w:sz w:val="22"/>
                <w:szCs w:val="22"/>
              </w:rPr>
              <w:t>мелкостеновых</w:t>
            </w:r>
            <w:proofErr w:type="spellEnd"/>
            <w:r w:rsidRPr="004D5AD5">
              <w:rPr>
                <w:sz w:val="22"/>
                <w:szCs w:val="22"/>
              </w:rPr>
              <w:t xml:space="preserve"> блоков; перекрытие между этажами-деревянные балки по металлическим прогонам, утеплённые минеральными плитами, далее- деревянный </w:t>
            </w:r>
            <w:proofErr w:type="spellStart"/>
            <w:proofErr w:type="gramStart"/>
            <w:r w:rsidRPr="004D5AD5">
              <w:rPr>
                <w:sz w:val="22"/>
                <w:szCs w:val="22"/>
              </w:rPr>
              <w:t>чернопол</w:t>
            </w:r>
            <w:proofErr w:type="spellEnd"/>
            <w:r w:rsidRPr="004D5AD5">
              <w:rPr>
                <w:sz w:val="22"/>
                <w:szCs w:val="22"/>
              </w:rPr>
              <w:t xml:space="preserve"> ,</w:t>
            </w:r>
            <w:proofErr w:type="gramEnd"/>
            <w:r w:rsidRPr="004D5AD5">
              <w:rPr>
                <w:sz w:val="22"/>
                <w:szCs w:val="22"/>
              </w:rPr>
              <w:t xml:space="preserve"> обрешётка, фанера, линолеум. Второй этаж-металлический каркас (колонны, прогоны, металлические сводчатые фермы, покрытые профилированным листом. Сейсмичность здания- 9 баллов.</w:t>
            </w:r>
          </w:p>
        </w:tc>
      </w:tr>
      <w:tr w:rsidR="004D5AD5" w:rsidRPr="004D5AD5" w:rsidTr="004D5AD5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 xml:space="preserve">Наличие в каждом здании огнетушителей, работоспособной автоматической пожарной сигнализации, автоматической системы пожаротушения, охранной сигнализации, физической охраны, видеонаблюдения и иных мер </w:t>
            </w:r>
            <w:proofErr w:type="spellStart"/>
            <w:r w:rsidRPr="004D5AD5">
              <w:rPr>
                <w:sz w:val="22"/>
                <w:szCs w:val="22"/>
              </w:rPr>
              <w:t>рискозащищенности</w:t>
            </w:r>
            <w:proofErr w:type="spellEnd"/>
            <w:r w:rsidRPr="004D5AD5">
              <w:rPr>
                <w:sz w:val="22"/>
                <w:szCs w:val="22"/>
              </w:rPr>
              <w:t>.</w:t>
            </w:r>
          </w:p>
        </w:tc>
        <w:tc>
          <w:tcPr>
            <w:tcW w:w="11199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>В каждом здании, помещениях имеются огнетушителей, автоматическая пожарная сигнализация исправна. Для проведения монтажных работ по установке автоматической системы пожаротушения на стадии заключения договора. По охране имущество заключен договор с ООО ЧОО «БАРС». Административное здание, территория, станции оснащены системами видеонаблюдения.</w:t>
            </w:r>
          </w:p>
        </w:tc>
      </w:tr>
      <w:tr w:rsidR="004D5AD5" w:rsidRPr="004D5AD5" w:rsidTr="004D5AD5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4D5AD5">
              <w:rPr>
                <w:sz w:val="22"/>
                <w:szCs w:val="22"/>
              </w:rPr>
              <w:t>Сейсмоустойчивость</w:t>
            </w:r>
            <w:proofErr w:type="spellEnd"/>
            <w:r w:rsidRPr="004D5AD5">
              <w:rPr>
                <w:sz w:val="22"/>
                <w:szCs w:val="22"/>
              </w:rPr>
              <w:t xml:space="preserve"> зданий</w:t>
            </w:r>
          </w:p>
        </w:tc>
        <w:tc>
          <w:tcPr>
            <w:tcW w:w="11199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 xml:space="preserve">Здание 2-х этажное, построенное каркасным методом из, стальных колонн. Сейсмичность здания- 9 баллов по шкале Рихтера. </w:t>
            </w:r>
          </w:p>
        </w:tc>
      </w:tr>
      <w:tr w:rsidR="004D5AD5" w:rsidRPr="004D5AD5" w:rsidTr="004D5AD5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4138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>Какие системы отопления (газовое, электрическое, дровяное).</w:t>
            </w:r>
          </w:p>
        </w:tc>
        <w:tc>
          <w:tcPr>
            <w:tcW w:w="11199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 xml:space="preserve">Газовое, электрическое.  </w:t>
            </w:r>
          </w:p>
        </w:tc>
      </w:tr>
      <w:tr w:rsidR="004D5AD5" w:rsidRPr="004D5AD5" w:rsidTr="004D5AD5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D5AD5" w:rsidRPr="004D5AD5" w:rsidRDefault="004D5AD5" w:rsidP="001436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D5A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>Мероприятия по защите от схода лавин/селей, оползней</w:t>
            </w:r>
          </w:p>
        </w:tc>
        <w:tc>
          <w:tcPr>
            <w:tcW w:w="11199" w:type="dxa"/>
            <w:shd w:val="clear" w:color="auto" w:fill="auto"/>
          </w:tcPr>
          <w:p w:rsidR="004D5AD5" w:rsidRPr="004D5AD5" w:rsidRDefault="004D5AD5" w:rsidP="0014362F">
            <w:pPr>
              <w:pStyle w:val="ac"/>
              <w:contextualSpacing/>
              <w:jc w:val="both"/>
              <w:rPr>
                <w:sz w:val="22"/>
                <w:szCs w:val="22"/>
              </w:rPr>
            </w:pPr>
            <w:r w:rsidRPr="004D5AD5">
              <w:rPr>
                <w:sz w:val="22"/>
                <w:szCs w:val="22"/>
              </w:rPr>
              <w:t>Для обеспечения безопасности гостей, отдыхающих, сотрудников службы трасс ВТРК «Эльбрус», а также имущества, с ФГБУ «</w:t>
            </w:r>
            <w:proofErr w:type="gramStart"/>
            <w:r w:rsidRPr="004D5AD5">
              <w:rPr>
                <w:sz w:val="22"/>
                <w:szCs w:val="22"/>
              </w:rPr>
              <w:t>Северо-Кавказская</w:t>
            </w:r>
            <w:proofErr w:type="gramEnd"/>
            <w:r w:rsidRPr="004D5AD5">
              <w:rPr>
                <w:sz w:val="22"/>
                <w:szCs w:val="22"/>
              </w:rPr>
              <w:t xml:space="preserve"> ВС» заключен договор Д-</w:t>
            </w:r>
            <w:proofErr w:type="spellStart"/>
            <w:r w:rsidRPr="004D5AD5">
              <w:rPr>
                <w:sz w:val="22"/>
                <w:szCs w:val="22"/>
              </w:rPr>
              <w:t>ДцАрх</w:t>
            </w:r>
            <w:proofErr w:type="spellEnd"/>
            <w:r w:rsidRPr="004D5AD5">
              <w:rPr>
                <w:sz w:val="22"/>
                <w:szCs w:val="22"/>
              </w:rPr>
              <w:t xml:space="preserve"> 71-060 от 07.10.2021 г., по проведению работ по предупредительному спуску лавин методом обстрела лавиноопасных очагов на склонах трасс ВТРК «Эльбрус». Так же по южному склону от канатной дроги п. </w:t>
            </w:r>
            <w:proofErr w:type="spellStart"/>
            <w:r w:rsidRPr="004D5AD5">
              <w:rPr>
                <w:sz w:val="22"/>
                <w:szCs w:val="22"/>
              </w:rPr>
              <w:t>Азау</w:t>
            </w:r>
            <w:proofErr w:type="spellEnd"/>
            <w:r w:rsidRPr="004D5AD5">
              <w:rPr>
                <w:sz w:val="22"/>
                <w:szCs w:val="22"/>
              </w:rPr>
              <w:t xml:space="preserve">, установлено </w:t>
            </w:r>
            <w:proofErr w:type="spellStart"/>
            <w:r w:rsidRPr="004D5AD5">
              <w:rPr>
                <w:sz w:val="22"/>
                <w:szCs w:val="22"/>
              </w:rPr>
              <w:t>противолавинное</w:t>
            </w:r>
            <w:proofErr w:type="spellEnd"/>
            <w:r w:rsidRPr="004D5AD5">
              <w:rPr>
                <w:sz w:val="22"/>
                <w:szCs w:val="22"/>
              </w:rPr>
              <w:t xml:space="preserve"> сооружение. Опоры канатной дороги защищены противооползневыми ограждениями.</w:t>
            </w:r>
            <w:bookmarkStart w:id="0" w:name="_GoBack"/>
            <w:bookmarkEnd w:id="0"/>
          </w:p>
        </w:tc>
      </w:tr>
    </w:tbl>
    <w:p w:rsidR="004D5AD5" w:rsidRDefault="004D5AD5" w:rsidP="004D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AD5" w:rsidSect="004D5AD5">
          <w:pgSz w:w="16838" w:h="11906" w:orient="landscape" w:code="9"/>
          <w:pgMar w:top="1134" w:right="992" w:bottom="567" w:left="425" w:header="340" w:footer="0" w:gutter="0"/>
          <w:cols w:space="708"/>
          <w:docGrid w:linePitch="360"/>
        </w:sectPr>
      </w:pPr>
    </w:p>
    <w:p w:rsidR="004D5AD5" w:rsidRPr="007645CF" w:rsidRDefault="004D5AD5" w:rsidP="004D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AD5" w:rsidRPr="007645CF" w:rsidSect="00914D78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5AD5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771A17"/>
  <w15:docId w15:val="{25CA4896-D92C-40D2-92B3-57F33EF1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D5A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17B2-7F1C-4F41-A7D3-EFAF7F76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5</cp:revision>
  <cp:lastPrinted>2019-12-20T07:37:00Z</cp:lastPrinted>
  <dcterms:created xsi:type="dcterms:W3CDTF">2022-10-06T13:14:00Z</dcterms:created>
  <dcterms:modified xsi:type="dcterms:W3CDTF">2022-10-17T15:04:00Z</dcterms:modified>
</cp:coreProperties>
</file>